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E5B" w:rsidRDefault="00820E5B">
      <w:pPr>
        <w:widowControl w:val="0"/>
        <w:autoSpaceDE w:val="0"/>
        <w:autoSpaceDN w:val="0"/>
        <w:adjustRightInd w:val="0"/>
        <w:spacing w:after="150" w:line="240" w:lineRule="auto"/>
        <w:jc w:val="both"/>
        <w:rPr>
          <w:rFonts w:ascii="Times New Roman" w:hAnsi="Times New Roman"/>
          <w:sz w:val="24"/>
          <w:szCs w:val="24"/>
        </w:rPr>
      </w:pPr>
      <w:bookmarkStart w:id="0" w:name="_GoBack"/>
      <w:bookmarkEnd w:id="0"/>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МИНИСТЕРСТВО ПРОСВЕЩЕНИЯ РОССИЙСКОЙ ФЕДЕРАЦИИ</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center"/>
        <w:rPr>
          <w:rFonts w:ascii="Times New Roman" w:hAnsi="Times New Roman"/>
          <w:b/>
          <w:bCs/>
          <w:sz w:val="36"/>
          <w:szCs w:val="36"/>
        </w:rPr>
      </w:pPr>
      <w:r>
        <w:rPr>
          <w:rFonts w:ascii="Times New Roman" w:hAnsi="Times New Roman"/>
          <w:b/>
          <w:bCs/>
          <w:sz w:val="36"/>
          <w:szCs w:val="36"/>
        </w:rPr>
        <w:t>РАСПОРЯЖЕНИЕ</w:t>
      </w:r>
    </w:p>
    <w:p w:rsidR="00820E5B" w:rsidRDefault="00820E5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от 12 января 2021 г. N Р-6</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ОБ УТВЕРЖДЕНИИ МЕТОДИЧЕСКИХ РЕКОМЕНДАЦИЙ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 исполнение пункта 4 Правил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проекта "Образование", в рамках государственной программы Российской Федерации "Развитие образования", приведенных в Приложении N 5 к государственной программе Российской Федерации "Развитие образования", утвержденной постановлением Правительства Российской Федерации от 26 декабря 2017 г. N 1642:</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Утвердить прилагаемые 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в рамках региональных проектов, обеспечивающих достижение целей, показателей и результата федерального проекта "Современная школа" национального проекта "Образование";</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Контроль за исполнением настоящего распоряжения оставляю за собой.</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Т.В. ВАСИЛЬЕВА</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Приложение</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УТВЕРЖДЕНЫ</w:t>
      </w:r>
    </w:p>
    <w:p w:rsidR="00820E5B" w:rsidRDefault="00820E5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lastRenderedPageBreak/>
        <w:t>распоряжением</w:t>
      </w:r>
    </w:p>
    <w:p w:rsidR="00820E5B" w:rsidRDefault="00820E5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Министерства просвещения</w:t>
      </w:r>
    </w:p>
    <w:p w:rsidR="00820E5B" w:rsidRDefault="00820E5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rsidR="00820E5B" w:rsidRDefault="00820E5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12 января 2021 г. N Р-6</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1. Общие положения</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Настоящие Методические рекомендации (далее - Рекомендации) направлены на обеспечение единых организационных и методических условий создания и общих подходов к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в целях обеспечения реализации федерального проекта "Современная школа" национального проекта "Образование" (далее - федеральный проект), в том числе установления требований к результатам использования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результата федерального проекта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Приведенные в настоящих Рекомендациях требования являются минимальными. Органы исполнительной власти субъектов Российской Федерации (органы местного самоуправления) при реализации мероприятий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(далее - Центры "Точка роста") вправе обеспечивать требования, превышающие установленные настоящими Рекомендациями.</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w:t>
      </w:r>
      <w:r>
        <w:rPr>
          <w:rFonts w:ascii="Times New Roman" w:hAnsi="Times New Roman"/>
          <w:sz w:val="24"/>
          <w:szCs w:val="24"/>
        </w:rPr>
        <w:lastRenderedPageBreak/>
        <w:t>для практической отработки учебного материала по учебным предметам "Физика", "Химия", "Биология".</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Центры "Точка роста" обеспечивают повышение охвата обучающихся общеобразовательных организаций, расположенных в сельской местности и малых городах,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Организационно-техническое, методическое и информационное сопровождение создания в субъектах Российской Федерации Центров "Точка роста" осуществляет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(далее - Федеральный оператор). Адрес сайта: https://www.apkpro.ru/.</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2. Порядок создания</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Центры "Точка роста" могут создаваться как за счет средств субсидий федерального бюджета в рамках реализации федерального проекта "Современная школа", так и в рамках иных программ и проектов за счет средств бюджетов субъектов Российской Федерации, средств местных бюджетов и внебюджетных источников.</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Создание Центров "Точка роста" осуществляется на базе общеобразовательных организаций, расположенных в сельской местности и малых городах, при этом в первую очередь создание Центров "Точка роста" рекомендуется осуществлять в организациях, показывающих низкие образовательные результаты.</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создания Центра "Точка роста" за счет средств субсидии из федерального бюджета в рамках федерального проекта "Современная школа" субъект Российской Федерации определяет:</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орган исполнительной власти субъекта Российской Федерации, ответственный за реализацию мероприятий по созданию и обеспечению функционирования Центров "Точка роста" на территории субъекта Российской Федерации (Региональный координатор);</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комплекс мер (дорожную карту) по созданию и функционированию Центров "Точка роста" согласно Приложению N 1 к настоящим Рекомендациям.</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Комплексом мер признается план мероприятий на очередной год и двухлетний плановый период, предусматривающий мероприятия по созданию и функционированию Центров "Точка роста", включающий в том числе:</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мероприятия, направленные на создание и открытие Центров "Точка роста";</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мероприятия, направленные на обеспечение функционирования Центров "Точка роста";</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мероприятия по повышению профессионального мастерства работников Центров "Точка роста";</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мероприятия по контролю достижения минимальных показателей создания и функционирования Центров "Точка роста".</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Региональный координатор в соответствии со сроками, установленными в Приложении N 1 к Рекомендациям, утверждает:</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должностное лицо в составе регионального ведомственного проектного офиса, ответственное за создание и функционирование Центров "Точка роста";</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перечень показателей и индикаторов, соответствующих приведенным в Приложении N 2 к настоящим Рекомендациям, их значений;</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перечень общеобразовательных организаций, расположенных в сельской местности и малых городах, на базе которых планируется создание Центров "Точка роста" (по форме, представленной в Приложении N 3);</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типовое Положение о Центре образования естественно-научной и технологической направленностей "Точка роста" (Приложение N 4).</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Создание центра "Точка роста" на базе общеобразовательной организации допускается как путем выделения соответствующего структурного подразделения общеобразовательной организации, так и без выделения отдельного подразделения.</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Общеобразовательная организация издает локальный нормативный акт о назначении руководителя Центра "Точка роста" (куратора, ответственного за функционирование и развитие), а также о создании центра "Точка роста" и утверждении положения о деятельности Центра "Точка роста".</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Региональный координатор не позднее дня открытия Центра "Точка роста" обеспечивает размещение в специально созданном разделе "Центр "Точка роста" официального сайта общеобразовательной организации в информационно-телекоммуникационной сети "Интернет" информации о создании и функционировании Центра "Точка роста", в том числе информации об образовательных программах, оборудовании Центра "Точка роста", планируемом режиме занятий обучающихся, планируемых мероприятиях. В созданном разделе официального сайта образовательной организации также размещается информация о национальном проекте "Образование" (в том числе логотип), адрес сайта и официальная символика Министерства просвещения Российской Федерации.</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Региональный координатор обеспечивает информирование Федерального оператора в случае создания на территории субъекта Российской Федерации Центров "Точка роста" в рамках иных программ и проектов, не относящихся к реализации федерального проекта "Современная школа" национального проекта "Образование", за счет средств бюджетов субъектов Российской Федерации и (или) средств местных бюджетов и (или) внебюджетных источников, а также направление на согласование Федеральному оператору концепции создания и функционирования таких Центров.</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 Требования к помещениям, комплектованию оборудованием, расходными материалами, средствами обучения и воспитания</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Создание Центров "Точка роста" предполагает комплекс условий по оснащению образовательных организаций оборудованием, расходными материалами, средствами обучения и воспитания для достижения образовательных результатов по предметным областям "Естественно-научные предметы", "Естественные науки", "Математика и информатика", "Обществознание и естествознание", "Технология",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Перечень направленностей реализуемых на базе Центров "Точка роста" образовательных программ может быть расширен в зависимости от имеющихся у общеобразовательных организаций условий, а также потребностей участников образовательных отношений.</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оборудованием, средствами обучения и воспитания для изучения (в том числе экспериментального) предметов, курсов, дисциплин (модулей) естественно-научной направленности и технологической направленностей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 "Химия", "Биология";</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оборудованием, средствами обучения и воспитания для изучения основ робототехники, механики, мехатроники, освоения основ программирования, реализации программ дополнительного образования технической и естественно-научной направленностей и т.д.</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компьютерным и иным оборудованием.</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Перечень, минимально необходимые функциональные и технические требования и минимальное количество оборудования, расходных материалов, средств обучения и воспитания для оснащения Центров "Точка роста" (далее - инфраструктурный лист), определяются Региональным координатором с учетом Примерного перечня оборудования, расходных материалов, средств обучения и воспитания для создания и обеспечения функционирования центров образования естественно-научной и технологической направленности "Точка роста" в общеобразовательных организациях, расположенных в сельской местности и малых городах (Приложение N 6), примерного типового инфраструктурного листа, определяемого Федеральным оператором, и настоящих Рекомендаций.</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рамках оснащения общеобразовательных организаций при формировании инфраструктурного листа субъект Российской Федерации вправе выбрать стандартный или профильный комплект оборудования, представленный в примерном перечне оборудования, расходных материалов, средств обучения и воспитания для оснащения Центров "Точка роста" (Приложение N 6). Для малокомплектных общеобразовательных организаций &lt;1&gt; объем единиц средств обучения и воспитания формируется в меньшем количестве.</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&lt;1&gt; Малокомплектной общеобразовательной организацией в рамках реализации мероприятий по созданию и функционированию центров естественно-научной и технологической направленностей признается общеобразовательная организация, численность классов-комплектов в каждой из параллелей которой составляет не более 1 единицы.</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Профильный комплект оборудования может быть выбран для общеобразовательных организаций, имеющих на момент создания центра "Точка роста" набор средств обучения и воспитания, покрывающий своими функциональными возможностями базовые потребности при изучении предметов "Физика", "Химия" и "Биология".</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Профильный комплект оборудования обеспечивает эффективное достижение </w:t>
      </w:r>
      <w:r>
        <w:rPr>
          <w:rFonts w:ascii="Times New Roman" w:hAnsi="Times New Roman"/>
          <w:sz w:val="24"/>
          <w:szCs w:val="24"/>
        </w:rPr>
        <w:lastRenderedPageBreak/>
        <w:t>образовательных результатов обучающимися по программам естественно-научной и технологической направленностей, возможность углубленного изучения отдельных предметов, в том числе для формирования изобретательского, креативного, критического мышления, развития функциональной грамотности у обучающихся, в том числе естественно-научной и математической.</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формировании инфраструктурного листа из профильного комплекта в обязательном порядке обеспечивается выбор средств обучения и воспитания не менее чем по трем учебным предметам ("Физика", "Химия", "Биология") и компьютерного оборудования. Оставшиеся по итогам определения обязательного оборудования средства, предусмотренные для оснащения Центра "Точка роста", распределяются на приобретение дополнительного оборудования, входящего в перечень оборудования, расходных материалов, средств обучения и воспитания профильного комплекта (Приложение N 6 к методическим рекомендациям).</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выборе дополнительного оборудования также следует учитывать специфику и потребности отраслей экономики субъекта Российской Федерации.</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Региональный координатор обеспечивает согласование сформированного в соответствии с типовой формой инфраструктурного листа с Федеральным оператором в соответствии с регламентом, определяемым Федеральным оператором.</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направлении на согласование инфраструктурного листа, содержащего стандартные комплекты, Региональный координатор предоставляет (по форме Федерального оператора):</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подтверждение отсутствия в соответствующих образовательных организациях, оснащение которых планируется, оборудования, расходных материалов, средств обучения и воспитания, указанных в перечне стандартного комплекта;</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подтверждение наличия (либо обеспечение наличия до момента оснащения Центров "Точка роста") условий для хранения и использования химических реактивов, в том числе необходимого оборудования, включая шкаф вытяжной панорамный и шкаф для хранения химических реактивов огнеупорный, согласно Перечню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утвержденному приказом Минпросвещения России от 3 сентября 2019 г. N 465.</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Образовательные организации, на базе которых создаются и функционируют Центры "Точка роста", должны соответствовать действующим требованиям к устройству, содержанию и организации режима работы образовательных организаций и иным нормативным правовым актам, определяющим требования к организации общего и дополнительного образования детей.</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Помещения (функциональные зоны, в том числе учебные кабинеты физики, химии, биологии) Центра "Точка роста" рекомендуется располагать в пределах одного здания.</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Проектирование, зонирование помещений Центров "Точка роста" и определение дизайн-решений осуществляется с учетом руководства по проектированию центров "Точка роста", утверждаемого федеральным оператором.</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проектировании, зонировании помещений Центров "Точка роста" следует учитывать </w:t>
      </w:r>
      <w:r>
        <w:rPr>
          <w:rFonts w:ascii="Times New Roman" w:hAnsi="Times New Roman"/>
          <w:sz w:val="24"/>
          <w:szCs w:val="24"/>
        </w:rPr>
        <w:lastRenderedPageBreak/>
        <w:t>особенности оборудования, расходных материалов, средств обучения и воспитания, которым будет обеспечиваться образовательная организация.</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Проект зонирования помещений Центров "Точка роста" представляется Федеральному оператору одновременно с представлением инфраструктурных листов.</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4. Организация образовательной деятельности</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Образовательная деятельность на базе центров "Точка роста" осуществляется по образовательным программам общего и дополнительного образования.</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Требования к формату организации образовательной деятельности регулируются настоящими Рекомендациями и иными информационными и методическими материалами Федерального оператора.</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Направления реализуемых с использованием ресурсов Центров "Точка роста" программ определяются в соответствии с методическими материалами и рекомендациями, устанавливаемыми и актуализируемыми Федеральным оператором.</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 базе центров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учетом рекомендаций Федерального оператора. В обязательном порядке на базе центров "Точка роста" обеспечивается освоение обучающимися учебных предметов "Физика", "Химия", "Биология" с использованием приобретаемого оборудования, расходных материалов, средств обучения и воспитания.</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 менее 1/3 объема внеурочной деятельности обучающихся должно быть ориентировано на поддержание естественно-научной и технологической направленностей образовательных программ, при этом объем программ естественно-научной направленности не может составлять менее 20% от общего объема внеурочной деятельности. Образовательные программы по другим направленностям при наличии возможности рекомендуется планировать с использованием ресурсов Центров "Точка роста".</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Разработка рабочих программ по предметам "Физика", "Химия", "Биология", учебным предметам естественно-научной и технологической направленностей из части учебного плана, формируемой участниками образовательных отношений, программ внеурочной деятельности и дополнительного образования осуществляется общеобразовательными организациями, в которых создаются центры "Точка роста", самостоятельно с учетом методических материалов и рекомендаций Федерального оператора. Реализация образовательных программ дополнительного образования в малокомплектных общеобразовательных организациях осуществляется при наличии у организации соответствующих условий.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Рекомендации по использованию стандартного комплекта оборудования Центра "Точка роста" при реализации программ естественно-научной и технологической направленностей определены в Приложении N 5 к настоящим Рекомендациям.</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Сопровождение и методическое обеспечение использования профильного комплекта оборудования в образовательной деятельности центров "Точка роста" осуществляет Федеральный оператор.</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Методические материалы, разработки и иные материалы по вопросам использования профильного комплекта оборудования разрабатываются, актуализируются и распространяются Федеральным оператором, в том числе с применением современных медиа инструментов (видео, вебинар, публикации).</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Федеральным оператором на регулярной основе обеспечивается проведение методических и обучающих мероприятий по вопросам организации образовательного процесса в Центрах "Точка роста" с применением профильного комплекта оборудования, оказание методической помощи при разработке учебных материалов, заданий для совершенствования практической подготовки обучающихся по учебным предметам, курсам внеурочной деятельности, дополнительного образования детей.</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Педагогические работники, осуществляющие деятельность на базе Центров "Точка роста" с применением профильного комплекта оборудования, проходят обучение по программам дополнительного профессионального образования (курсы повышения квалификации) из Федерального реестра программ ДПО. Повышение квалификации педагогических работников осуществляется не реже одного раза в три года.</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5. Организационно-методическое сопровождение и использование иной созданной в рамках реализации национального проекта "Образование" инфраструктуры</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целях комплексного сопровождения деятельности Центров "Точка" Федеральным оператором обеспечивается осуществление публикаций и обновления методических материалов, включающих учебно-методические материалы (инструкции, методические пособия, информационные материалы, перечни рекомендуемых литературных источников, видеоматериалы и др.), а также материалы по итогам проведения мероприятий Федерального оператора (вебинары, семинары, конференции, совещания и др.).</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педагогических работников Центров "Точка роста" Федеральным оператором обеспечивается проведение тематических вебинаров и образовательных мероприятий, направленных на разъяснение вопросов реализации образовательных программ на базе Центров "Точка роста" с применением профильного комплекта оборудования.</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Региональных координаторов и руководящих работников Центров "Точка роста" Федеральный оператор обеспечивает проведение тематических вебинаров, направленных на дополнительное разъяснение вопросов, относящихся к исполнению комплексов мер (дорожных карт) по созданию и функционированию Центров "Точка роста", достижению установленных показателей функционирования, использованию иной созданной в рамках реализации национального проекта "Образование" инфраструктуры.</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целях эффективной организационно-методической поддержки создания и функционирования Центров "Точка роста" на территории субъектов Российской Федерации Региональным координатором обеспечивается вовлечение детских технопарков "Кванториум", центров цифрового образования детей "IT-куб", ключевых центров дополнительного образования "Дом научной коллаборации" в деятельность Центров "Точка роста" в следующих форматах:</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Проведение совместных мероприятий для обучающихся и педагогических работников общеобразовательных организаций, на базе которых создаются Центры "Точка роста" </w:t>
      </w:r>
      <w:r>
        <w:rPr>
          <w:rFonts w:ascii="Times New Roman" w:hAnsi="Times New Roman"/>
          <w:sz w:val="24"/>
          <w:szCs w:val="24"/>
        </w:rPr>
        <w:lastRenderedPageBreak/>
        <w:t>(обучающие семинары и мастер-классы по вопросам использования оборудования, средств обучения и воспитания; методические мероприятия по вопросам разработки, совершенствования и внедрения программ дополнительного образования естественно-научной и технической направленности, организации внеурочной деятельности обучающихся; индивидуальные консультации для педагогических работников, в том числе в режиме онлайн; занятия проектной деятельностью; конкурсные и соревновательные мероприятия для детей и др.).</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Организация и участие в региональных и межрегиональных конференциях, фестивалях, форумах по обмену опытом работы на высокооснащенных ученико-местах, в том числе по реализации предметных областей "Естественно-научные предметы", "Естественные науки", "Математика и информатика", "Обществознание и естествознание", "Технология", а также программ дополнительного образования естественно-научной и технической направленностей.</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Участие региональных координаторов, представителей Центров "Точка роста" и иных центров, функционирующих на территории субъекта Российской Федерации, в мероприятиях Федерального оператора.</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График мероприятий, квоты участия, содержание и технологии проведения мероприятий доводятся Федеральным оператором дополнительно.</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Организация и участие в проведении информационных кампаний по популяризации национального проекта "Образование" на территории субъектов Российской Федерации, в том числе событиях, проводимых для консультационного сопровождения родителей (законных представителей) обучающихся о возможностях для развития способностей и талантов их детей, профессиональной ориентации и успешного освоения основных образовательных программ общего образования.</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Разработка, утверждение и реализация сетевых образовательных программ с использованием высокооснащенных ученико-мест, созданных в субъекте Российской Федерации в рамках национального проекта "Образование", в том числе совместно с детскими технопарками "Кванториум".</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Вовлечение обучающихся общеобразовательных организаций, на базе которых создаются и функционируют Центры "Точка роста", в различные формы сопровождения и наставничества с использованием кадровых ресурсов, обеспечивающих работу высокооснащенных ученико-мест, созданных в субъекте Российской Федерации в рамках национального проекта "Образование" с учетом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Центры "Точка роста" используют инфраструктуру и кадровые ресурсы детских технопарков "Кванториум", создаваемых на базе общеобразовательных организаций, для развития проектной деятельности обучающихся. Педагогические работники Центров "Точка роста" обеспечивают участие обучающихся в мероприятиях детских технопарков "Кванториум" с удаленным использованием оборудования, средств обучения и воспитания, а также принимают участие в организуемых ими семинарах по демонстрации эффективного опыта реализации образовательных естественно-научной, технологической и иных направленностей среди иных общеобразовательных организаций, расположенных на территории субъекта </w:t>
      </w:r>
      <w:r>
        <w:rPr>
          <w:rFonts w:ascii="Times New Roman" w:hAnsi="Times New Roman"/>
          <w:sz w:val="24"/>
          <w:szCs w:val="24"/>
        </w:rPr>
        <w:lastRenderedPageBreak/>
        <w:t>Российской Федерации.</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Региональным координатором на территории субъекта Российской Федерации обеспечивается работа по поддержке общеобразовательных организаций, показывающих низкие образовательные результаты, с использованием инфраструктуры и кадрового обеспечения Центров "Точка роста" в различных форматах (совместная реализация образовательных программ, проведение обучающих мероприятий, семинаров, консультаций и пр.).</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проведении различных мероприятий, связанных с реализацией национального проекта "Образование", использованием соответствующей инфраструктуры, кадровых и финансовых ресурсов, должно быть обеспечено их информационное сопровождение, в том числе в средствах массовой информации, социальных сетях, на сайтах образовательных организаций с использованием фирменной символики национального проекта "Образование".</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Информация об участии Центров "Точка роста" в мероприятиях направляется Федеральному оператору в рамках ежеквартального мониторинга.</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6. Требования к финансовому обеспечению Центров "Точка роста"</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Финансовое обеспечение функционирования Центров "Точка роста" включает затраты в соответствии с Общими </w:t>
      </w:r>
      <w:hyperlink r:id="rId4" w:history="1">
        <w:r>
          <w:rPr>
            <w:rFonts w:ascii="Times New Roman" w:hAnsi="Times New Roman"/>
            <w:sz w:val="24"/>
            <w:szCs w:val="24"/>
            <w:u w:val="single"/>
          </w:rPr>
          <w:t>требованиями</w:t>
        </w:r>
      </w:hyperlink>
      <w:r>
        <w:rPr>
          <w:rFonts w:ascii="Times New Roman" w:hAnsi="Times New Roman"/>
          <w:sz w:val="24"/>
          <w:szCs w:val="24"/>
        </w:rPr>
        <w:t xml:space="preserve">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применяемыми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приказом Минпросвещения России от 20 ноября 2018 г. N 235 и включающими в том числе:</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оплату труда педагогических работников общеобразовательной организации, обеспечивающих функционирование Центров "Точка роста";</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приобретение достаточного объема основных средств и материальных запасов, в том числе расходных материалов, для обеспечения реализации образовательных программ в объеме, необходимом для непрерывной реализации образовательного процесса;</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обеспечение текущей деятельности общеобразовательной организации по обеспечению образовательного процесса.</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формировании бюджета субъекта Российской Федерации (местного бюджета) на очередной год и плановый период необходимо предусматривать бюджетные ассигнования в объеме, необходимом для финансового обеспечения функционирования Центров "Точка роста", в том числе с учетом соответствующей индексации.</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7. Заключительные положения</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реализации мероприятий в целях создания и функционирования Центров "Точка роста" </w:t>
      </w:r>
      <w:r>
        <w:rPr>
          <w:rFonts w:ascii="Times New Roman" w:hAnsi="Times New Roman"/>
          <w:sz w:val="24"/>
          <w:szCs w:val="24"/>
        </w:rPr>
        <w:lastRenderedPageBreak/>
        <w:t>субъект Российской Федерации обеспечивает соблюдение требований антимонопольного законодательства и законодательства о контрактной системе в сфере закупок товаров, работ, услуг для обеспечения государственных и муниципальных нужд, в том числе в части обеспечения повышения эффективности, исключения ограничения круга поставщиков и поставляемого оборудования, повышения результативности осуществления закупок, обеспечения прозрачности, предотвращения коррупции и других злоупотреблений.</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осуществлении субъектами Российской Федерации закупок товаров, работ, услуг с целью приобретения оборудования, расходных материалов, средств обучения и воспитания в целях создания Центров "Точка роста" за счет субсидии из федерального бюджета бюджетам субъектов Российской Федерации на софинансирование расходных обязательств субъектов Российской Федерации:</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 обеспечивается централизация закупок в порядке, определенном </w:t>
      </w:r>
      <w:hyperlink r:id="rId5" w:history="1">
        <w:r>
          <w:rPr>
            <w:rFonts w:ascii="Times New Roman" w:hAnsi="Times New Roman"/>
            <w:sz w:val="24"/>
            <w:szCs w:val="24"/>
            <w:u w:val="single"/>
          </w:rPr>
          <w:t>пунктом 7</w:t>
        </w:r>
      </w:hyperlink>
      <w:r>
        <w:rPr>
          <w:rFonts w:ascii="Times New Roman" w:hAnsi="Times New Roman"/>
          <w:sz w:val="24"/>
          <w:szCs w:val="24"/>
        </w:rPr>
        <w:t xml:space="preserve"> статьи 26 Федерального закона "О контрактной системе в сфере закупок, товаров, работ, услуг для обеспечения государственных и муниципальных нужд";</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 применяется национальный режим в соответствии с требованиями </w:t>
      </w:r>
      <w:hyperlink r:id="rId6" w:history="1">
        <w:r>
          <w:rPr>
            <w:rFonts w:ascii="Times New Roman" w:hAnsi="Times New Roman"/>
            <w:sz w:val="24"/>
            <w:szCs w:val="24"/>
            <w:u w:val="single"/>
          </w:rPr>
          <w:t>статьи 14</w:t>
        </w:r>
      </w:hyperlink>
      <w:r>
        <w:rPr>
          <w:rFonts w:ascii="Times New Roman" w:hAnsi="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Кроме того, при осуществлении закупок субъектами Российской Федерации должны быть учтены:</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 положения постановления Правительства Российской Федерации </w:t>
      </w:r>
      <w:hyperlink r:id="rId7" w:history="1">
        <w:r>
          <w:rPr>
            <w:rFonts w:ascii="Times New Roman" w:hAnsi="Times New Roman"/>
            <w:sz w:val="24"/>
            <w:szCs w:val="24"/>
            <w:u w:val="single"/>
          </w:rPr>
          <w:t>от 03.12.2020 N 2013</w:t>
        </w:r>
      </w:hyperlink>
      <w:r>
        <w:rPr>
          <w:rFonts w:ascii="Times New Roman" w:hAnsi="Times New Roman"/>
          <w:sz w:val="24"/>
          <w:szCs w:val="24"/>
        </w:rPr>
        <w:t xml:space="preserve"> "О минимальной доле закупок товаров российского происхождения";</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положения постановления Правительства Российской Федерации от 03.12.2020 N 2014 "О минимальной обязательной доле закупок российских товаров и ее достижении заказчиком" (вместе с "</w:t>
      </w:r>
      <w:hyperlink r:id="rId8" w:history="1">
        <w:r>
          <w:rPr>
            <w:rFonts w:ascii="Times New Roman" w:hAnsi="Times New Roman"/>
            <w:sz w:val="24"/>
            <w:szCs w:val="24"/>
            <w:u w:val="single"/>
          </w:rPr>
          <w:t>Положением</w:t>
        </w:r>
      </w:hyperlink>
      <w:r>
        <w:rPr>
          <w:rFonts w:ascii="Times New Roman" w:hAnsi="Times New Roman"/>
          <w:sz w:val="24"/>
          <w:szCs w:val="24"/>
        </w:rPr>
        <w:t xml:space="preserve">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w:t>
      </w:r>
      <w:hyperlink r:id="rId9" w:history="1">
        <w:r>
          <w:rPr>
            <w:rFonts w:ascii="Times New Roman" w:hAnsi="Times New Roman"/>
            <w:sz w:val="24"/>
            <w:szCs w:val="24"/>
            <w:u w:val="single"/>
          </w:rPr>
          <w:t>Положением</w:t>
        </w:r>
      </w:hyperlink>
      <w:r>
        <w:rPr>
          <w:rFonts w:ascii="Times New Roman" w:hAnsi="Times New Roman"/>
          <w:sz w:val="24"/>
          <w:szCs w:val="24"/>
        </w:rPr>
        <w:t xml:space="preserve"> о порядке, критериях и последствии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Приложение N 1</w:t>
      </w:r>
    </w:p>
    <w:p w:rsidR="00820E5B" w:rsidRDefault="00820E5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 Методическим рекомендациям</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 xml:space="preserve">КОМПЛЕКС МЕР ("ДОРОЖНАЯ КАРТА") ПО СОЗДАНИЮ И ФУНКЦИОНИРОВАНИЮ В </w:t>
      </w:r>
      <w:r>
        <w:rPr>
          <w:rFonts w:ascii="Times New Roman" w:hAnsi="Times New Roman"/>
          <w:b/>
          <w:bCs/>
          <w:sz w:val="36"/>
          <w:szCs w:val="36"/>
        </w:rPr>
        <w:lastRenderedPageBreak/>
        <w:t>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50"/>
        <w:gridCol w:w="2303"/>
        <w:gridCol w:w="2063"/>
        <w:gridCol w:w="2062"/>
        <w:gridCol w:w="2062"/>
      </w:tblGrid>
      <w:tr w:rsidR="00820E5B">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N </w:t>
            </w:r>
          </w:p>
        </w:tc>
        <w:tc>
          <w:tcPr>
            <w:tcW w:w="2063"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мероприятия </w:t>
            </w:r>
          </w:p>
        </w:tc>
        <w:tc>
          <w:tcPr>
            <w:tcW w:w="2063"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Ответственный </w:t>
            </w:r>
          </w:p>
        </w:tc>
        <w:tc>
          <w:tcPr>
            <w:tcW w:w="2062"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Результат </w:t>
            </w:r>
          </w:p>
        </w:tc>
        <w:tc>
          <w:tcPr>
            <w:tcW w:w="2062"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Срок </w:t>
            </w:r>
          </w:p>
        </w:tc>
      </w:tr>
      <w:tr w:rsidR="00820E5B">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2063"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Утверждены: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должностное лицо в составе регионального ведомственного проектного офиса, ответственное за создание и функционирование центров "Точка роста";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показатели деятельности центров "Точка роста";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типовое Положение о деятельности Центров "Точка роста" на территории субъекта Российской Федерации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перечень общеобразовательных организаций, расположенных в сельской местности и малых городах, на базе которых планируется создание Центров "Точка роста". </w:t>
            </w:r>
          </w:p>
        </w:tc>
        <w:tc>
          <w:tcPr>
            <w:tcW w:w="2063"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Региональный координатор </w:t>
            </w:r>
          </w:p>
        </w:tc>
        <w:tc>
          <w:tcPr>
            <w:tcW w:w="2062"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Распорядительный акт регионального органа исполнительной власти, осуществляющего государственное управление в сфере образования (далее - распорядительный акт РОИВ) </w:t>
            </w:r>
          </w:p>
        </w:tc>
        <w:tc>
          <w:tcPr>
            <w:tcW w:w="2062"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не позднее 31 января X &lt;2&gt; года </w:t>
            </w:r>
          </w:p>
        </w:tc>
      </w:tr>
      <w:tr w:rsidR="00820E5B">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p>
        </w:tc>
        <w:tc>
          <w:tcPr>
            <w:tcW w:w="2063"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Сформирован и согласован инфраструктурный лист </w:t>
            </w:r>
          </w:p>
        </w:tc>
        <w:tc>
          <w:tcPr>
            <w:tcW w:w="2063"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Региональный координатор, федеральный оператор </w:t>
            </w:r>
          </w:p>
        </w:tc>
        <w:tc>
          <w:tcPr>
            <w:tcW w:w="2062"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Письмо федерального оператора и распорядительный акт РОИВ </w:t>
            </w:r>
          </w:p>
        </w:tc>
        <w:tc>
          <w:tcPr>
            <w:tcW w:w="2062"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Согласно отдельному графику </w:t>
            </w:r>
          </w:p>
        </w:tc>
      </w:tr>
      <w:tr w:rsidR="00820E5B">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2063"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Объявлены закупки </w:t>
            </w:r>
            <w:r>
              <w:rPr>
                <w:rFonts w:ascii="Times New Roman" w:hAnsi="Times New Roman"/>
                <w:sz w:val="24"/>
                <w:szCs w:val="24"/>
              </w:rPr>
              <w:lastRenderedPageBreak/>
              <w:t xml:space="preserve">товаров, работ, услуг для создания Центров "Точка роста" </w:t>
            </w:r>
          </w:p>
        </w:tc>
        <w:tc>
          <w:tcPr>
            <w:tcW w:w="2063"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Региональный </w:t>
            </w:r>
            <w:r>
              <w:rPr>
                <w:rFonts w:ascii="Times New Roman" w:hAnsi="Times New Roman"/>
                <w:sz w:val="24"/>
                <w:szCs w:val="24"/>
              </w:rPr>
              <w:lastRenderedPageBreak/>
              <w:t xml:space="preserve">координатор </w:t>
            </w:r>
          </w:p>
        </w:tc>
        <w:tc>
          <w:tcPr>
            <w:tcW w:w="2062"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Извещения о </w:t>
            </w:r>
            <w:r>
              <w:rPr>
                <w:rFonts w:ascii="Times New Roman" w:hAnsi="Times New Roman"/>
                <w:sz w:val="24"/>
                <w:szCs w:val="24"/>
              </w:rPr>
              <w:lastRenderedPageBreak/>
              <w:t xml:space="preserve">проведении закупок </w:t>
            </w:r>
          </w:p>
        </w:tc>
        <w:tc>
          <w:tcPr>
            <w:tcW w:w="2062"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не позднее 1 апреля </w:t>
            </w:r>
            <w:r>
              <w:rPr>
                <w:rFonts w:ascii="Times New Roman" w:hAnsi="Times New Roman"/>
                <w:sz w:val="24"/>
                <w:szCs w:val="24"/>
              </w:rPr>
              <w:lastRenderedPageBreak/>
              <w:t xml:space="preserve">X года </w:t>
            </w:r>
          </w:p>
        </w:tc>
      </w:tr>
      <w:tr w:rsidR="00820E5B">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4. </w:t>
            </w:r>
          </w:p>
        </w:tc>
        <w:tc>
          <w:tcPr>
            <w:tcW w:w="2063"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Сформированы проекты зонирования Центров "Точка роста" </w:t>
            </w:r>
          </w:p>
        </w:tc>
        <w:tc>
          <w:tcPr>
            <w:tcW w:w="2063"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Региональный координатор </w:t>
            </w:r>
          </w:p>
        </w:tc>
        <w:tc>
          <w:tcPr>
            <w:tcW w:w="2062"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Распорядительный акт РОИВ </w:t>
            </w:r>
          </w:p>
        </w:tc>
        <w:tc>
          <w:tcPr>
            <w:tcW w:w="2062"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не позднее 1 апреля X года </w:t>
            </w:r>
          </w:p>
        </w:tc>
      </w:tr>
      <w:tr w:rsidR="00820E5B">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w:t>
            </w:r>
          </w:p>
        </w:tc>
        <w:tc>
          <w:tcPr>
            <w:tcW w:w="2063"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Проведен мониторинг работ по приведению площадок Центров "Точка роста" в соответствие с методическими рекомендациями Минпросвещения России </w:t>
            </w:r>
          </w:p>
        </w:tc>
        <w:tc>
          <w:tcPr>
            <w:tcW w:w="2063"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Региональный координатор </w:t>
            </w:r>
          </w:p>
        </w:tc>
        <w:tc>
          <w:tcPr>
            <w:tcW w:w="2062"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 форме, определяемой Минпросвещения России или Федеральным оператором </w:t>
            </w:r>
          </w:p>
        </w:tc>
        <w:tc>
          <w:tcPr>
            <w:tcW w:w="2062"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25 августа X года, далее ежегодно </w:t>
            </w:r>
          </w:p>
        </w:tc>
      </w:tr>
      <w:tr w:rsidR="00820E5B">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w:t>
            </w:r>
          </w:p>
        </w:tc>
        <w:tc>
          <w:tcPr>
            <w:tcW w:w="2063"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Начало работы Центров "Точка роста" </w:t>
            </w:r>
          </w:p>
        </w:tc>
        <w:tc>
          <w:tcPr>
            <w:tcW w:w="2063"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Региональный координатор </w:t>
            </w:r>
          </w:p>
        </w:tc>
        <w:tc>
          <w:tcPr>
            <w:tcW w:w="2062"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Информационное освещение в СМИ </w:t>
            </w:r>
          </w:p>
        </w:tc>
        <w:tc>
          <w:tcPr>
            <w:tcW w:w="2062"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сентября X года </w:t>
            </w:r>
          </w:p>
        </w:tc>
      </w:tr>
      <w:tr w:rsidR="00820E5B">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7. </w:t>
            </w:r>
          </w:p>
        </w:tc>
        <w:tc>
          <w:tcPr>
            <w:tcW w:w="2063"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Ежеквартальный мониторинг выполнения показателей создания и функционирования центров "Точка роста" </w:t>
            </w:r>
          </w:p>
        </w:tc>
        <w:tc>
          <w:tcPr>
            <w:tcW w:w="2063"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Региональный координатор </w:t>
            </w:r>
          </w:p>
        </w:tc>
        <w:tc>
          <w:tcPr>
            <w:tcW w:w="2062"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Отчет Федеральному оператору по итогам мониторинга </w:t>
            </w:r>
          </w:p>
        </w:tc>
        <w:tc>
          <w:tcPr>
            <w:tcW w:w="2062"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октября X года, далее - ежеквартально в течение 2-х лет </w:t>
            </w:r>
          </w:p>
        </w:tc>
      </w:tr>
    </w:tbl>
    <w:p w:rsidR="00820E5B" w:rsidRDefault="00820E5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820E5B" w:rsidRDefault="00820E5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&lt;2&gt; X - год получения субсидии.</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Приложение N 2</w:t>
      </w:r>
    </w:p>
    <w:p w:rsidR="00820E5B" w:rsidRDefault="00820E5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 Методическим рекомендациям</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МИНИМАЛЬНЫЕ ИНДИКАТОРЫ И ПОКАЗАТЕЛИ РЕАЛИЗАЦИИ МЕРОПРИЯТИЙ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48"/>
        <w:gridCol w:w="2417"/>
        <w:gridCol w:w="2303"/>
        <w:gridCol w:w="2303"/>
        <w:gridCol w:w="2334"/>
      </w:tblGrid>
      <w:tr w:rsidR="00820E5B">
        <w:tblPrEx>
          <w:tblCellMar>
            <w:top w:w="0" w:type="dxa"/>
            <w:left w:w="0" w:type="dxa"/>
            <w:bottom w:w="0" w:type="dxa"/>
            <w:right w:w="0" w:type="dxa"/>
          </w:tblCellMar>
        </w:tblPrEx>
        <w:trPr>
          <w:jc w:val="center"/>
        </w:trPr>
        <w:tc>
          <w:tcPr>
            <w:tcW w:w="5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N</w:t>
            </w:r>
          </w:p>
        </w:tc>
        <w:tc>
          <w:tcPr>
            <w:tcW w:w="2125"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индикатора (показателя)</w:t>
            </w:r>
          </w:p>
        </w:tc>
        <w:tc>
          <w:tcPr>
            <w:tcW w:w="2125"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Минимальное значение в год для общеобразовательных организаций, не являющихся малокомплектными</w:t>
            </w:r>
          </w:p>
        </w:tc>
        <w:tc>
          <w:tcPr>
            <w:tcW w:w="2125"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Минимальное значение в год для малокомплектных общеобразовательных организаций</w:t>
            </w:r>
          </w:p>
        </w:tc>
        <w:tc>
          <w:tcPr>
            <w:tcW w:w="2125"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Методика расчета минимального показателя в целом по субъекту Российской Федерации, в год</w:t>
            </w:r>
          </w:p>
        </w:tc>
      </w:tr>
      <w:tr w:rsidR="00820E5B">
        <w:tblPrEx>
          <w:tblCellMar>
            <w:top w:w="0" w:type="dxa"/>
            <w:left w:w="0" w:type="dxa"/>
            <w:bottom w:w="0" w:type="dxa"/>
            <w:right w:w="0" w:type="dxa"/>
          </w:tblCellMar>
        </w:tblPrEx>
        <w:trPr>
          <w:jc w:val="center"/>
        </w:trPr>
        <w:tc>
          <w:tcPr>
            <w:tcW w:w="5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2125"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Численность обучающихся общеобразовательной организации, осваивающих два и более учебных предмета из числа предметных областей "Естественно-научные предметы", "Естественные науки", "Математика и информатика", "Обществознание и естествознание", "Технология" и (или) курсы внеурочной деятельности общеинтеллектуальной направленности с использованием средств обучения и воспитания Центра "Точка роста" &lt;3&gt; (человек) </w:t>
            </w:r>
          </w:p>
        </w:tc>
        <w:tc>
          <w:tcPr>
            <w:tcW w:w="2125"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300</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 год открытия - 150) </w:t>
            </w:r>
          </w:p>
        </w:tc>
        <w:tc>
          <w:tcPr>
            <w:tcW w:w="2125"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 год открытия - 50) </w:t>
            </w:r>
          </w:p>
        </w:tc>
        <w:tc>
          <w:tcPr>
            <w:tcW w:w="2125"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Сумма значений показателя по всем общеобразовательным организациям, на базе которых создаются центры "Точка роста" </w:t>
            </w:r>
          </w:p>
        </w:tc>
      </w:tr>
      <w:tr w:rsidR="00820E5B">
        <w:tblPrEx>
          <w:tblCellMar>
            <w:top w:w="0" w:type="dxa"/>
            <w:left w:w="0" w:type="dxa"/>
            <w:bottom w:w="0" w:type="dxa"/>
            <w:right w:w="0" w:type="dxa"/>
          </w:tblCellMar>
        </w:tblPrEx>
        <w:trPr>
          <w:jc w:val="center"/>
        </w:trPr>
        <w:tc>
          <w:tcPr>
            <w:tcW w:w="5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p>
        </w:tc>
        <w:tc>
          <w:tcPr>
            <w:tcW w:w="2125"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"Точка роста" &lt;4&gt; (человек) </w:t>
            </w:r>
          </w:p>
        </w:tc>
        <w:tc>
          <w:tcPr>
            <w:tcW w:w="2125"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60</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 год открытия - 30) </w:t>
            </w:r>
          </w:p>
        </w:tc>
        <w:tc>
          <w:tcPr>
            <w:tcW w:w="2125"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 год открытия - 15) </w:t>
            </w:r>
          </w:p>
        </w:tc>
        <w:tc>
          <w:tcPr>
            <w:tcW w:w="2125"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Сумма значений показателя по всем общеобразовательным организациям, на базе которых создаются центры "Точка роста" </w:t>
            </w:r>
          </w:p>
        </w:tc>
      </w:tr>
      <w:tr w:rsidR="00820E5B">
        <w:tblPrEx>
          <w:tblCellMar>
            <w:top w:w="0" w:type="dxa"/>
            <w:left w:w="0" w:type="dxa"/>
            <w:bottom w:w="0" w:type="dxa"/>
            <w:right w:w="0" w:type="dxa"/>
          </w:tblCellMar>
        </w:tblPrEx>
        <w:trPr>
          <w:jc w:val="center"/>
        </w:trPr>
        <w:tc>
          <w:tcPr>
            <w:tcW w:w="5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2125"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Доля педагогических </w:t>
            </w:r>
            <w:r>
              <w:rPr>
                <w:rFonts w:ascii="Times New Roman" w:hAnsi="Times New Roman"/>
                <w:sz w:val="24"/>
                <w:szCs w:val="24"/>
              </w:rPr>
              <w:lastRenderedPageBreak/>
              <w:t xml:space="preserve">работников центра "Точка роста", прошедших обучение по программам из реестра программ повышения квалификации федерального оператора &lt;5&gt; (%) </w:t>
            </w:r>
          </w:p>
        </w:tc>
        <w:tc>
          <w:tcPr>
            <w:tcW w:w="2125"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100 </w:t>
            </w:r>
          </w:p>
        </w:tc>
        <w:tc>
          <w:tcPr>
            <w:tcW w:w="2125"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100 </w:t>
            </w:r>
          </w:p>
        </w:tc>
        <w:tc>
          <w:tcPr>
            <w:tcW w:w="2125"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100 </w:t>
            </w:r>
          </w:p>
        </w:tc>
      </w:tr>
    </w:tbl>
    <w:p w:rsidR="00820E5B" w:rsidRDefault="00820E5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820E5B" w:rsidRDefault="00820E5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&lt;3&gt; Использование средств оборудования,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естественно-научной и технологической направленностей. Расчет показателя предусматривает суммирование численности обучающихся общеобразовательной организации, каждый из которых задействован в освоении не менее двух предметов, курсов, дисциплин (модулей) естественно-научной и технологической направленностей в рамках реализации основных общеобразовательных программ. Учитываются учебные предметы из числа предметных областей "Математика и информатика", "Обществознание и естествознание", "Технология", "Естественно-научные предметы", "Естественные науки" и (или) курсы внеурочной деятельности, реализуемые с использованием средств обучения и воспитания Центров "Точка роста". В случае, если в общеобразовательной организации, общая численность обучающихся меньше указанного значения, значение показателя должно составлять не менее 80% от общей численности обучающихся.</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&lt;4&gt; В случае, если в общеобразовательной организации, общая численность обучающихся меньше значения, указанного в показателе 1, значение показателя должно составлять не менее 20% от общей численности обучающихся.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&lt;5&gt; В соответствии с </w:t>
      </w:r>
      <w:hyperlink r:id="rId10" w:history="1">
        <w:r>
          <w:rPr>
            <w:rFonts w:ascii="Times New Roman" w:hAnsi="Times New Roman"/>
            <w:sz w:val="24"/>
            <w:szCs w:val="24"/>
            <w:u w:val="single"/>
          </w:rPr>
          <w:t>пунктом 2</w:t>
        </w:r>
      </w:hyperlink>
      <w:r>
        <w:rPr>
          <w:rFonts w:ascii="Times New Roman" w:hAnsi="Times New Roman"/>
          <w:sz w:val="24"/>
          <w:szCs w:val="24"/>
        </w:rPr>
        <w:t xml:space="preserve"> части 5 статьи 47 Федерального закона от 29.12.2012 N 273-ФЗ "Об образовании в Российской Федерации" повышение квалификации педагогических работников осуществляется не реже одного раза в три года. Повышение квалификации педагогического работника центра "Точка роста" засчитывается при наличии действующего (с даты прохождения прошло не более 3 лет) удостоверения о повышении квалификации по программам, соответствующим направленностям Центра "Точка роста", или прохождении обучения по программам федерального оператора.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Приложение N 3</w:t>
      </w:r>
    </w:p>
    <w:p w:rsidR="00820E5B" w:rsidRDefault="00820E5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 Методическим рекомендациям</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 xml:space="preserve">ПЕРЕЧЕНЬ ОБЩЕОБРАЗОВАТЕЛЬНЫХ ОРГАНИЗАЦИЙ, НА БАЗЕ КОТОРЫХ ПЛАНИРУЕТСЯ СОЗДАНИЕ И ФУНКЦИОНИРОВАНИЕ ЦЕНТРОВ </w:t>
      </w:r>
      <w:r>
        <w:rPr>
          <w:rFonts w:ascii="Times New Roman" w:hAnsi="Times New Roman"/>
          <w:b/>
          <w:bCs/>
          <w:sz w:val="36"/>
          <w:szCs w:val="36"/>
        </w:rPr>
        <w:lastRenderedPageBreak/>
        <w:t>ОБРАЗОВАНИЯ ЕСТЕСТВЕННО-НАУЧНОЙ И ТЕХНОЛОГИЧЕСКОЙ НАПРАВЛЕННОСТЕЙ "ТОЧКА РОСТА" В ____ ГОДУ В РАМКАХ ФЕДЕРАЛЬНОГО ПРОЕКТА "СОВРЕМЕННАЯ ШКОЛА" НАЦИОНАЛЬНОГО ПРОЕКТА "ОБРАЗОВАНИЕ" В _____________ (НАИМЕНОВАНИЕ СУБЪЕКТА РОССИЙСКОЙ ФЕДЕРАЦИИ)</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39"/>
        <w:gridCol w:w="1732"/>
        <w:gridCol w:w="2270"/>
        <w:gridCol w:w="2270"/>
        <w:gridCol w:w="1434"/>
        <w:gridCol w:w="2163"/>
      </w:tblGrid>
      <w:tr w:rsidR="00820E5B">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155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муниципального образования</w:t>
            </w:r>
          </w:p>
        </w:tc>
        <w:tc>
          <w:tcPr>
            <w:tcW w:w="155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общеобразовательной организации, на базе которой планируется создание Центра "Точка роста"</w:t>
            </w:r>
          </w:p>
        </w:tc>
        <w:tc>
          <w:tcPr>
            <w:tcW w:w="155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Юридический адрес общеобразовательной организации (по уставу)</w:t>
            </w:r>
          </w:p>
        </w:tc>
        <w:tc>
          <w:tcPr>
            <w:tcW w:w="155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Численность обучающихся</w:t>
            </w:r>
          </w:p>
        </w:tc>
        <w:tc>
          <w:tcPr>
            <w:tcW w:w="155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Малокомплектная (да/нет, количество классов-комплектов)</w:t>
            </w:r>
          </w:p>
        </w:tc>
      </w:tr>
      <w:tr w:rsidR="00820E5B">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jc w:val="center"/>
              <w:rPr>
                <w:rFonts w:ascii="Times New Roman" w:hAnsi="Times New Roman"/>
                <w:sz w:val="24"/>
                <w:szCs w:val="24"/>
              </w:rPr>
            </w:pPr>
          </w:p>
        </w:tc>
        <w:tc>
          <w:tcPr>
            <w:tcW w:w="155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jc w:val="center"/>
              <w:rPr>
                <w:rFonts w:ascii="Times New Roman" w:hAnsi="Times New Roman"/>
                <w:sz w:val="24"/>
                <w:szCs w:val="24"/>
              </w:rPr>
            </w:pPr>
          </w:p>
        </w:tc>
        <w:tc>
          <w:tcPr>
            <w:tcW w:w="155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jc w:val="center"/>
              <w:rPr>
                <w:rFonts w:ascii="Times New Roman" w:hAnsi="Times New Roman"/>
                <w:sz w:val="24"/>
                <w:szCs w:val="24"/>
              </w:rPr>
            </w:pPr>
          </w:p>
        </w:tc>
        <w:tc>
          <w:tcPr>
            <w:tcW w:w="155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jc w:val="center"/>
              <w:rPr>
                <w:rFonts w:ascii="Times New Roman" w:hAnsi="Times New Roman"/>
                <w:sz w:val="24"/>
                <w:szCs w:val="24"/>
              </w:rPr>
            </w:pPr>
          </w:p>
        </w:tc>
        <w:tc>
          <w:tcPr>
            <w:tcW w:w="155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jc w:val="center"/>
              <w:rPr>
                <w:rFonts w:ascii="Times New Roman" w:hAnsi="Times New Roman"/>
                <w:sz w:val="24"/>
                <w:szCs w:val="24"/>
              </w:rPr>
            </w:pPr>
          </w:p>
        </w:tc>
        <w:tc>
          <w:tcPr>
            <w:tcW w:w="155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jc w:val="center"/>
              <w:rPr>
                <w:rFonts w:ascii="Times New Roman" w:hAnsi="Times New Roman"/>
                <w:sz w:val="24"/>
                <w:szCs w:val="24"/>
              </w:rPr>
            </w:pPr>
          </w:p>
        </w:tc>
      </w:tr>
    </w:tbl>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Приложение N 4</w:t>
      </w:r>
    </w:p>
    <w:p w:rsidR="00820E5B" w:rsidRDefault="00820E5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 Методическим рекомендациям</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ТИПОВОЕ ПОЛОЖЕНИЕ О ЦЕНТРЕ ОБРАЗОВАНИЯ ЕСТЕСТВЕННО-НАУЧНОЙ И ТЕХНОЛОГИЧЕСКОЙ НАПРАВЛЕННОСТЕЙ "ТОЧКА РОСТА" НА БАЗЕ &lt;НАИМЕНОВАНИЕ ОБЩЕОБРАЗОВАТЕЛЬНОЙ ОРГАНИЗАЦИИ&gt;</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1. Общие положения</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Центр образования естественно-научной и технологической направленностей "Точка роста" на базе &lt;наименование общеобразовательной организации&gt; (далее - Центр) создан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и технологической направленностей.</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Центр не является юридическим лицом и действует для достижения уставных целей &lt;наименование общеобразовательной организации&gt; (далее - Учреждение), а также в целях выполнения задач и достижения показателей и результатов национального проекта "Образование".</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В своей деятельности Центр руководствуется Федеральным законом Российской </w:t>
      </w:r>
      <w:r>
        <w:rPr>
          <w:rFonts w:ascii="Times New Roman" w:hAnsi="Times New Roman"/>
          <w:sz w:val="24"/>
          <w:szCs w:val="24"/>
        </w:rPr>
        <w:lastRenderedPageBreak/>
        <w:t xml:space="preserve">Федерации </w:t>
      </w:r>
      <w:hyperlink r:id="rId11" w:history="1">
        <w:r>
          <w:rPr>
            <w:rFonts w:ascii="Times New Roman" w:hAnsi="Times New Roman"/>
            <w:sz w:val="24"/>
            <w:szCs w:val="24"/>
            <w:u w:val="single"/>
          </w:rPr>
          <w:t>от 29.12.2012 N 273-ФЗ</w:t>
        </w:r>
      </w:hyperlink>
      <w:r>
        <w:rPr>
          <w:rFonts w:ascii="Times New Roman" w:hAnsi="Times New Roman"/>
          <w:sz w:val="24"/>
          <w:szCs w:val="24"/>
        </w:rPr>
        <w:t xml:space="preserve"> "Об образовании в Российской Федерации", ________, другими нормативными документами Министерства просвещения Российской Федерации, иными нормативными правовыми актами Российской Федерации, программой развития &lt;наименование общеобразовательной организации&gt;, планами работы, утвержденными учредителем и настоящим Положением.</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Центр в своей деятельности подчиняется руководителю Учреждения (директору).</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2. Цели, задачи, функции деятельности Центра</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Основной целью деятельности Центра является совершенствование условий для повышения качества образования,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Задачами Центра являются:</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2.2.1. реализация основных общеобразовательных программ по учебным предметам естественно-научной и технологической направленностей, в том числе в рамках внеурочной деятельности обучающихся;</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2.2.2. разработка и реализация разноуровневых дополнительных общеобразовательных программ естественно-научной и технической направленностей, а также иных программ, в том числе в каникулярный период;</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2.2.3. вовлечение обучающихся и педагогических работников в проектную деятельность;</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2.2.4. организация внеучебной деятельности в каникулярный период, разработка и реализация соответствующих образовательных программ, в том числе для лагерей, организованных образовательными организациями в каникулярный период;</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2.2.5. повышение профессионального мастерства педагогических работников Центра, реализующих основные и дополнительные общеобразовательные программы.</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 Центр для достижения цели и выполнения задач вправе взаимодействовать с:</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различными образовательными организациями в форме сетевого взаимодействия;</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с иными образовательными организациями, на базе которых созданы центры "Точка роста";</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с федеральным оператором, осуществляющим функции по информационному, методическому и организационно-техническому сопровождению мероприятий по созданию и функционированию центров "Точка роста", в том числе по вопросам повышения квалификации педагогических работников;</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обучающимися и родителями (законными представителями) обучающихся, в том числе с применением дистанционных образовательных технологий.</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 Порядок управления Центром "Точка роста"</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Руководитель Учреждения издает локальный нормативный акт о назначении </w:t>
      </w:r>
      <w:r>
        <w:rPr>
          <w:rFonts w:ascii="Times New Roman" w:hAnsi="Times New Roman"/>
          <w:sz w:val="24"/>
          <w:szCs w:val="24"/>
        </w:rPr>
        <w:lastRenderedPageBreak/>
        <w:t>руководителя Центра (куратора, ответственного за функционирование и развитие), а также о создании Центра и утверждении Положение о деятельности Центра.</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3.2. Руководителем Центра может быть назначен сотрудник Учреждения из числа руководящих и педагогических работников.</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3.3. Руководитель Центра обязан:</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3.3.1. осуществлять оперативное руководство Центром;</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3.3.2. представлять интересы Центра по доверенности в муниципальных, государственных органах региона, организациях для реализации целей и задач Центра;</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3.3.3. отчитываться перед Руководителем Учреждения о результатах работы Центра;</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3.3.4. выполнять иные обязанности, предусмотренные законодательством, уставом Учреждения, должностной инструкцией и настоящим Положением.</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3.4. Руководитель Центра вправе:</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3.4.1. осуществлять расстановку кадров Центра, прием на работу которых осуществляется приказом руководителя Учреждения;</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3.4.2. по согласованию с руководителем Учреждения организовывать учебно-воспитательный процесс в Центре в соответствии с целями и задачами Центра и осуществлять контроль за его реализацией;</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3.4.3. 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3.4.4. по согласованию с руководителем Учреждения осуществлять организацию и проведение мероприятий по профилю направлений деятельности Центра;</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3.4.5. 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Приложение N 5</w:t>
      </w:r>
    </w:p>
    <w:p w:rsidR="00820E5B" w:rsidRDefault="00820E5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 Методическим рекомендациям</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РЕКОМЕНДАЦИИ ПО ИСПОЛЬЗОВАНИЮ СТАНДАРТНОГО КОМПЛЕКТА ОБОРУДОВАНИЯ ЦЕНТРА "ТОЧКА РОСТА" ПРИ РЕАЛИЗАЦИИ ПРОГРАММ ЕСТЕСТВЕННО-НАУЧНОЙ И ТЕХНОЛОГИЧЕСКОЙ НАПРАВЛЕННОСТЕЙ</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Перечень стандартного комплекта оборудования для оснащения Центров "Точка роста" сформирован с учетом ряда принципов, в том числе:</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Принцип преемственности систем оборудования. Оборудование для проведения ученических практических работ является общим для уровней основного общего и среднего общего </w:t>
      </w:r>
      <w:r>
        <w:rPr>
          <w:rFonts w:ascii="Times New Roman" w:hAnsi="Times New Roman"/>
          <w:sz w:val="24"/>
          <w:szCs w:val="24"/>
        </w:rPr>
        <w:lastRenderedPageBreak/>
        <w:t>образования. В системе наглядных средств обучения и демонстрационного оборудования имеются базовые элементы, общие для основного общего и среднего общего образования. Цифровая лаборатория и оборудование общего назначения позволяют обеспечивать деятельность обучающихся как в основной, так и в старшей школе, а в совокупности с цифровыми лабораториями по физике, биологии и химии - практическую деятельность в рамках изучения естественно-научных предметов в 10 - 11 классах на углубленном уровне.</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Принцип сочетания классических и современных средств измерений и способов экспериментального исследования явлений. В состав оборудования входят классические средства измерения (например: динамометры, стрелочные амперметр и вольтметр) и цифровые приборы (например: цифровые весы, секундомер) и датчики. Соблюдение этого принципа имеет особое значение для уровня основного общего образования, поскольку здесь происходит знакомство со способами измерения физических величин, формируется понимание принципов действия аналоговых измерительных приборов и обеспечивается переход к использованию инструментов цифровой лаборатории.</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Принцип приоритета ученического эксперимента для реализации системно-деятельностного подхода. Реализация системно-деятельностного подхода в обучении естественно-научным предметам базируется в первую очередь на вовлечении обучающихся в практическую деятельность по проведению наблюдений и опытов. Поэтому значительная часть наблюдений и опытов, которые в традиционной методике предлагались как демонстрационные, перенесены в разряд ученических работ. Следует отметить, что в настоящее время изучение физики, химии и биологии в основной школе и на базовом уровне старшей школы ориентируется на освоение естественно-научной грамотности, которое идет через развитие способностей учащихся анализировать разнообразную естественно-научную информацию и использовать полученные знания для объяснения явлений и процессов окружающего мира; понимать особенности использования методов естествознания для получения научных данных; проявлять самостоятельность суждений и понимать роль науки и технологических инноваций в развитии общества; осознавать важность научных исследований и их связь с нашим материальным окружением и состоянием окружающей среды. Ориентация на естественно-научную грамотность предполагает акцент на методологию науки и напрямую связано как с общим числом ученических опытов в курсах естественных наук, так и направленностью их на формирование самостоятельности действий при проведении наблюдений, измерений и исследований.</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Использование средств наглядности и учебного оборудования в учебном процессе направлено на выполнения следующих функций: обеспечивают более полную и точную информацию об изучаемом явлении или объекте и тем самым способствуют повышению качества обучения; помогают в максимальной мере развить познавательные интересы учащихся; повышают уровень наглядности и доступности обучения; увеличивают объем самостоятельной работы учащихся на уроке и внеурочной деятельности; создают условия для организации практико-ориентированной проектной и исследовательской деятельности; дают возможность доступнее и глубже раскрыть содержание учебного материала, способствуют формированию у учащихся положительных мотивов обучения.</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Важнейшей частью оснащения Центра "Точка роста" является цифровая лаборатория, перечень датчиков которой позволяет использовать эту лабораторию при изучении физики, химии и биологии. Введение в школьный эксперимент цифровых датчиков для регистрации различных величин и возможности использовать компьютер (смартфон или планшет) для расчетов и оформления результатов опытов, позволяет перейти на новый качественный уровень проведения измерений, упростив процесс измерений и повысив их точность. </w:t>
      </w:r>
      <w:r>
        <w:rPr>
          <w:rFonts w:ascii="Times New Roman" w:hAnsi="Times New Roman"/>
          <w:sz w:val="24"/>
          <w:szCs w:val="24"/>
        </w:rPr>
        <w:lastRenderedPageBreak/>
        <w:t>Появление цифровых технологий в лабораторных работах повышает их актуальность и привлекательность в сознании современного школьника, усиливает наглядность как в ходе опытов, так и при обработке результатов с использованием программных средств. Для экспериментов по биологии и химии это является значимым переходом от качественных наблюдений и опытов к количественным экспериментам.</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Использование цифровой лаборатории существенно изменяет подходы к проведению и демонстрационных, и ученических опытов:</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Использование цифровых датчиков в качестве измерительных инструментов изменяет подходы к проведению прямых измерений физических величин.</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Традиционно в качестве средств измерения использовались простейшие инструменты (рычажные весы и разновесы, мензурка, динамометр, термометр) и стрелочные приборы (амперметр и вольтметр).</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Использование цифровых датчиков позволяет на совершенно другом качественном уровне производить измерения времени, расстояния, иметь возможность регистрировать и наблюдать изменение во времени таких величин как температура, электрическое напряжение, сила тока и т.д.</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Эти возможности позволяют, например, на уроках физики с высокой точностью измерить мгновенную скорость тела, движущегося неравномерно, наблюдать в динамике процесс электромагнитной индукции, возникновение и изменение индукционного тока, исследовать изменение температуры с течением времени в процессе установления теплового равновесия и т.д.</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 уроках биологии появляется возможность получить количественные данные при проведении опытов, например: при определении факторов, влияющих на скорость процесса фотосинтеза, при изучении дыхания корней и листьев, при исследовании условий прорастания семян и т.д.</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 уроках химии на количественный уровень переходят практические работы по изучению процесса электролиза, исследование экзотермических и эндотермических реакций, теплового эффекта горения топлива и т.д. С использованием традиционных "аналоговых" средств подобные измерения выполнить невозможно. Однако, при переходе на цифровую лабораторию в тематическом планировании необходимо предусмотреть дополнительное время для обучения работе с датчиками, включая сборку экспериментальной установки с датчиками, снятие показаний с экрана компьютера, определение погрешностей измерений.</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работы с цифровыми датчиками используется специальное программное обеспечение, установленное на компьютер. Для коммуникации цифровых датчиков, записи и хранения информации, полученной с их помощью, цифровая лаборатория используется в комплекте с ноутбуком с необходимым установленным программным обеспечением.</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Использование компьютерной формы регистрации полученных значений и построения графиков изменяет подходы к оформлению лабораторных и практических работ обучающимися.</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Данные, полученные при помощи цифровых датчиков, вносятся в электронные таблицы, что позволяет строить графики зависимостей исследуемых величин на экране компьютера. На основании этих графиков делать выводы о характере зависимости величин от времени или других параметров. На углубленном уровне целесообразно обучать проводить </w:t>
      </w:r>
      <w:r>
        <w:rPr>
          <w:rFonts w:ascii="Times New Roman" w:hAnsi="Times New Roman"/>
          <w:sz w:val="24"/>
          <w:szCs w:val="24"/>
        </w:rPr>
        <w:lastRenderedPageBreak/>
        <w:t>аппроксимацию выбранных точек итоговой графической зависимостью.</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Эти новые возможности позволяют автоматизировать рутинные процедуры заполнения таблиц, выполнение однотипных расчетов, построения графиков. Цифровая фотокамера позволяет сфотографировать собранную экспериментальную установку и прикрепить фотографию в электронный отчет. Таким образом, осуществляется переход к оформлению электронного отчета о проделанном эксперименте, проектной или исследовательской работе.</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Возможность использования видеонаблюдения за процессом выполнения практических работ обучающимися изменяет подходы к оцениванию работ.</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Электронный отчет о проделанной практической работе может сопровождаться прикрепленной фотографией, которая позволяет оценивать правильность собранной экспериментальной установки, более полно определять полноту и правильность проделанного исследования, анализировать достоверность представленных экспериментальных данных. При одновременном выполнении разными группами обучающихся разных исследовательских работ целесообразно использовать видеозапись всего хода работ. В этом случае оцениваться могут не только предметные результаты, связанные с проведением конкретного эксперимента, но и коммуникативные и регулятивные действия: планирование работы, отслеживание хода работы, коррекция плана работы, коммуникация в совместной деятельности, наличие (или отсутствие) конфликтов и способы их решения.</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Использование цифровых лабораторий существенно расширяет спектр возможных опытов и исследований, особенно это касается изучения биологии и химии.</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Расширение спектра возможностей можно проиллюстрировать на примере изучения электромагнитной индукции в курсе физики. При использовании стрелочного амперметра традиционно наблюдают лишь факт возникновения индукционного тока в проводнике и изменение его направления при изменении скорости внесения магнита или его полярности. Использование цифрового датчика позволяет получить осциллограмму ЭДС индукции, возникающей в катушке, при пролете через нее магнита. Это позволяет сравнивать значения максимальных ЭДС при пролете через катушку магнита с разными скоростями и с разной полярностью, анализировать вид полученной зависимости, конструировать экспериментальные задачи по изучению электромагнитной индукции.</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Цифровая лаборатория позволяет организовать проектную и учебно-исследовательскую деятельность школьников как в рамках уроков, так и во внеурочной деятельности. Наличие разнообразных цифровых датчиков дает возможность проводить самые разнообразные исследования, опираясь на интересы обучающихся. В качестве примера можно привести исследования экологической направленности по выявлению факторов загрязнения окружающей среды, изучению экологического состояния помещений школы, почвы, воздуха в населенном пункте и т.д. Исследовательские работы с использованием цифровых датчиков целесообразно предлагать учащимся 10 - 11 классов в рамках обязательной для них проектной деятельности. Выполнение таких проектов является основанием для оценки не только уровня сформированности предметных результатов, но итоговой оценки достижения метапредметных результатов обучения: коммуникативных (которые оцениваются как в процессе проведения работы, так и в процессе защиты проекта или исследования) и регулятивных (которые оцениваются в процессе выполнения проекта).</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Оснащение для изучения физики представлено в виде оборудования для демонстрационных опытов и оборудования для лабораторных работ и ученических опытов, включая общую для </w:t>
      </w:r>
      <w:r>
        <w:rPr>
          <w:rFonts w:ascii="Times New Roman" w:hAnsi="Times New Roman"/>
          <w:sz w:val="24"/>
          <w:szCs w:val="24"/>
        </w:rPr>
        <w:lastRenderedPageBreak/>
        <w:t>естественно-научного цикла цифровую лабораторию, а также цифровую лабораторию по физике (как дополнительный элемент для углубленного изучения физики).</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Демонстрационное оборудование обеспечивает возможность наблюдения большинства изучаемых явлений, процессов и законов. Это возможно при оптимальном сочетании аналоговых и цифровых средств наблюдения, анализа измерительной информации. Так, например, для курса физики основной школы есть возможность демонстрации классических демонстрационных экспериментов: падение тел в трубке Ньютона, демонстрация действия атмосферного давления, закона Паскаля, изменения объема тел при нагревании (охлаждении), притяжения молекул и т.д. Набор по электростатике дает возможность демонстрации электризации тел, закона сохранения заряда, линий напряженности электрического поля и т.д. и может использоваться как 8 классе при изучении электромагнитных явлений, так и в 10 классе при изучении электростатики.</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проведении демонстрационных опытов должны соблюдаться требования к их наглядности (ясная и понятная постановка опыта), видимости для всех учащихся класса (при наличии мелких деталей используется их увеличенное изображение при помощи веб-камеры), эмоциональности и, по возможности, занимательности (демонстрационный опыт должен вызывать интерес учащихся, создавать мотивацию к изучению предмета) и убедительности (показывать тот эффект, на демонстрацию которого он был направлен).</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Однако реализация деятельностного подхода в обучении физике переносит акцент с демонстрационного эксперимента на ученический. Например, по механике исследование кинематических закономерностей, законов динамики, колебательных движений перенесено в ученический эксперимент с соответствующим набором оборудования. При изучении электродинамики лабораторное оборудование позволяет исследовать не только законы постоянного тока, но с использованием компьютерного осциллографа позволяет пронаблюдать и исследовать электрические цепи переменного тока, блок диодов позволяет исследовать вольтамперные характеристики диода. При изучении оптики лабораторное оборудование позволяет изучить законы геометрической оптики (преломление света в полуцилиндре и получение изображения в линзах) и пронаблюдать основные явления волновой оптики (интерференция и поляризация), исследовать дифракцию света (дифракционная решетка).</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соответствии с предметными результатами обучения физике оборудование для ученических опытов обеспечивает проведение следующих типов работ, сгруппированных по видам деятельности, независимо от их тематической принадлежности:</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Проведение прямых измерений физических величин (измерение массы, объема жидкости, температуры жидкости, силы, силы тока, напряжения) с использованием аналоговых и цифровых приборов.</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Проверка заданных предположений (прямые измерения физических величин и сравнение заданных соотношений между ними). Например: проверка условий плавания тел, условий равновесия рычага и блоков, закономерностей последовательного и параллельного соединения проводников и т.д.</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Расчет по полученным результатам прямых измерений зависимого от них параметра (в основной школе) и косвенные измерения (в 10 - 11 классах). Например: ускорение тела при равноускоренном движении, ускорение свободного падения, жесткость пружины, коэффициент трения скольжения, механическая работа и мощность и т.д.</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4. Наблюдение явлений и постановка опытов (на качественном уровне) по обнаружению факторов, влияющих на протекание данных явлений. Например: прямолинейное распространение света, дисперсия света; изучение свойств изображения в плоском зеркале и т.п.</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Исследование зависимости одной физической величины от другой с представлением результатов в виде графика и расчета искомого параметра. Например: зависимости пути равномерно движущегося тела от времени движения тела; силы трения скольжения от силы нормального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объема погруженной части тела и от плотности жидкости, ее независимости от плотности тела, от глубины, на которую погружено тело и т.д.</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Лабораторное оборудование обеспечивает самостоятельный ученический эксперимент, который может иметь различные формы: фронтальный эксперимент (фронтальные опыты и лабораторные работы), работы практикума, учебно-исследовательские работы и проекты экспериментального характера. При этом нормативно-обязательным вне зависимости от уровня изучения физики (базовый или углубленный) и образовательной программы (основная или средняя школа) является фронтальный эксперимент. Именно посредством фронтального эксперимента достигаются предметные результаты экспериментального характера, а учащимися осваиваются способы действий, соответствующие указанным выше пяти типам работ. Лабораторный практикум целесообразен только при углубленном уровне изучения предмета.</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Оптимальным для достижения целей проведения фронтального эксперимента является представление лабораторного оборудования и материалов в виде тематических комплектов по механике, молекулярной физике, электричеству и оптике. Использование тематических комплектов способствует формированию такого важнейшего умения, как подбор учащимися оборудования в соответствии с целью исследования из избыточной номенклатуры предложенного комплекта; позволяет проводить экспериментальную работу на любом этапе урока; уменьшает трудовые затраты учителя при подготовке к урокам, поскольку не требуется перекомпоновка оборудования в соответствии с задачами конкретного урока.</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планировании практических работ важно иметь в виду, что предметные результаты экспериментального характера могут быть освоены только при оптимальном сочетании кратковременных фронтальных опытов и одночасовых лабораторных работ.</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Важное значение имеет тот факт, что в состав фронтального оборудования наряду с аналоговыми входят и цифровые средства измерения. К ним относятся электронный секундомер с датчиками, электронные весы и датчики цифровой лаборатории. Таким образом, при проведении фронтального эксперимента в основной школе ученики знакомятся с электронными способами измерений и вычислений.</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Блок оборудования для ученических работ по физике сформирован на базе перечня оборудования для проведения основного государственного экзамена по физике. Использование приборов и оборудования с едиными для всех обучающихся характеристиками позволяет стандартизировать процедуры выполнения экспериментальных заданий на экзамене и обеспечить надежную оценку результатов на основании экспертной проверки ответов обучающихся. При этом основанием для вывода о правильности проведения данного опыта являются результаты, полученные учащимися посредством прямых измерений заданных физических величин.</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Набор для проведения основного государственного экзамена обеспечивает разработку нескольких однотипных заданий при использовании одинакового оборудования с разными характеристиками. Этот подход целесообразно использовать и при проведении фронтальных опытов и лабораторных работ. Например, при проведении исследования зависимости силы тока от напряжения можно выделить в классе группы, которые будут проводить данное исследование, используя резисторы с разным сопротивлением, и лампочку. По результатам можно сравнить полученные зависимости, обсудить границы выполнения закона Ома для участка цепи, определить сопротивления резисторов.</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Следует отметить, что при проведении фронтальных опытов и лабораторных работ в основной школе требуется запись результатов всех прямых измерений с учетом абсолютной погрешности. Здесь при использовании традиционного оборудования (мензурок, динамометров, термометров) и стрелочных амперметров и вольтметров абсолютную погрешность целесообразно связывать с ценой деления прибора, а при переходе к цифровым инструментам (цифровые весы и датчики) учить работать с описаниями этих приборов, выделяя данные об абсолютной погрешности, либо предлагать значение погрешности в тексте заданий.</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проведении исследования зависимостей одной физической величины от другой учащиеся должны освоить построение графиков с указанием абсолютных погрешностей, а при проведении работ на проверку предположений - уметь сравнивать значения двух прямых измерений с учетом абсолютной погрешности (например, путем сравнения интервалов полученных значений на числовой оси). Проведение измерений и исследований в курсе физики 10 - 11 классов дополняются использованием относительных погрешностей, учащиеся должны научиться рассчитывать относительные погрешности в простейших случаях прямых измерений и сравнивать точность различных измерений.</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Обращаем внимание, что оценивание лабораторных работ должно базироваться, как и в критериях оценивания экспериментальных заданий КИМ ОГЭ, не на правильности оформления отчета о работе, а на правильности действий по сбору установки, проведению опытов, снятию показаний приборов.</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Оснащение для изучения биологии представлено комплектами демонстрационных влажных препаратов, гербариев и коллекций по разным темам курса биологии, а также цифровой лабораторией для проведения практических работ. Кроме того, при изучении биологии может использовать цифровая лаборатория по биологии (как дополнительный элемент для углубленного изучения курса).</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учебном процессе учащиеся должны получить возможность чувственного восприятия изучаемых явлений и объектов. Однако изучаемые явления и объекты не всегда могут быть непосредственно воспроизведены или показаны в учебном помещении. В этом случае учебное оборудование дает возможность их воспроизвести опосредовано, через коллекцию, гербарный лист, микропрепарат, модель, видеофрагмент и т.п.</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Влажные препараты представляют собой натуральные объекты, смонтированные на стеклянной пластинке и опущенные в стеклянный цилиндр с консервирующей жидкостью, либо представленные в пластике. Здесь предлагаются тотальные препараты, позволяющие изучать внешнее строение организма или его части, (например: "Корень бобового растения с клубеньками", "Гадюка"); анатомические препараты, предназначенные для изучения внутреннего строения организма или его органов (например: "Внутреннее строение лягушки", "Внутреннее строение птицы"); биологические препараты, дающие представление </w:t>
      </w:r>
      <w:r>
        <w:rPr>
          <w:rFonts w:ascii="Times New Roman" w:hAnsi="Times New Roman"/>
          <w:sz w:val="24"/>
          <w:szCs w:val="24"/>
        </w:rPr>
        <w:lastRenderedPageBreak/>
        <w:t>о стадиях развития организма (например: "Развитие костистой рыбы", "Развитие курицы"). Влажные препараты используются как раздаточный материал в процессе демонстрации при изучении нового материала или в процессе выполнения практических заданий, разработанных на их основе.</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Гербарии - собрание прессованных, засушенных растений или их частей помогают изучать растение в кабинете и узнавать его в природе, а гербаризация - наиболее простой способ сохранения растений и их частей в течение длительного времени. В перечне предлагается систематический гербарий (например, "Основные группы растений") и гербарий по общей биологии (который позволяет проиллюстрировать изменчивость, искусственный отбор, систематические категории и видообразование, дивергенция и конвергенция, гомологичные и аналогичные органы, рудиментарные органы, ароморфоз, идиоадаптация фенотип и генотип, полиплоидия, отдаленная гибридизация, взаимодействие растений с абиотическими факторами среды, взаимодействие растений с биотическим факторами среды). Гербарный материал используют как раздаточный материал для демонстрации изучаемых объектов, для выполнения практических заданий при закреплении материала или диагностики учебных результатов.</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Также представлены коллекции - наборы предметов или веществ, подобранных по определенным признакам. Объектами их могут быть расправленные и засушенные насекомые, ракообразные, раковины моллюсков, отдельные части скелетов животных. В коллекциях сочетают натуральные объекты с их изображением в виде рисунков или муляжей - имитаций. Предложенные в перечне морфологические коллекции дают представление о внешнем строении органов или их частей, позволяют проводить сравнения объектов, выяснять их общие черты и черты различия (например: "Представители отрядов насекомых" и др.); общебиологические коллекции позволяют выяснять взаимосвязи в органическом мире, рассматривать развитие организмов, прослеживать общебиологические закономерности (например: "Примеры защитных приспособлений у насекомых"). Коллекции, как и гербарии, используют как раздаточный материал для демонстрации изучаемых объектов, для выполнения практических заданий при закреплении материала или диагностики учебных результатов.</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Ознакомление учащихся с микроскопическим строением живых организмов - одна из главнейших задач науки, позволяющих подвести школьников к пониманию единства органического мира. Для проведения лабораторных работ в цифровую лабораторию включен микроскоп, а в комплекте посуды и оборудования общего назначения имеются необходимое оснащение для проведения лабораторных работ.</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Цифровая лаборатория включает набор для изготовления микропрепаратов. Свежие препараты изготавливают для немедленного рассмотрения. К ним относятся жидкостные (объекты обычно помещаются в воду, а препараты сохраняются в течение нескольких дней), сухие (например, частицу птичьего пера, просто положить на предметное стекло и микроскопировать), живые препараты (мазки - капли жидкости, например крови) и витальные препараты (которые используются для изучения малоклеточных объектов (простейших, колоний водорослей), для наблюдения движения (туфельки, амебы). Приготовление микропрепарата вырабатывает у учащегося навыки самостоятельной работы, активизирует их познавательную деятельность и знакомит с техникой и методикой научного исследования. В цифровую лабораторию включен также и набор микропрепаратов, который содержит постоянные препараты, долгое время сохраняющиеся в пригодном для микроскопирования виде.</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Следует отметить, что наряду с использованием перечисленного выше учебного оборудования важную роль в изучении биологии играют природные объекты, так как в большинстве случаев только они могут обеспечить наибольшую конкретность и полноту знаний учащихся, помогают формированию у них правильных биологических знаний. К таким живым объектам относят растения, животные живого уголка, аквариума, террариума. Эффективным средством знакомства с природными объектами являются экскурсии в биологические и краеведческие музеи, ботанические сады, зоопарки и окружающие школу естественные и искусственные природные сообщества.</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Традиционные биологические муляжи и модели в настоящее время успешно заменяются цифровыми образовательными ресурсами: видеофрагментами, анимацией, виртуальными лабораториями. Цифровые образовательные ресурсы не могут стать полноценной заменой реальных природных объектов, но дают возможность познакомиться с более широким кругом объектов, создают предпосылки для интенсификации образовательного процесса и обеспечивают незамедлительную обратную связь, компьютерную визуализацию информации, автоматизацию управления учебной деятельностью и контроль ее результатов.</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Оснащение для изучения химии представлено в виде демонстрационного оборудования, комплекта химических реактивов с необходимым оборудованием из общего комплекта посуды и оборудования для ученических опытов и комплекта коллекций. Кроме того, при изучении химии используется общая для естественно-научного цикла цифровая лаборатория, а также цифровая лаборатория по химии (как дополнительный элемент для углубленного изучения химии).</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Демонстрационный эксперимент является важной частью обучения химии. Здесь важно помнить, что при его проведении обязательно должны быть соблюдены все необходимые этапы:</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поставка цели эксперимента,</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описание необходимого для его выполнения оборудования и реактивов,</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планирование порядка проведения,</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описание исходных веществ,</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прогнозирование ожидаемых в реакционной смеси изменений и результатов эксперимента,</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описание изменений, произошедших с веществами,</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формулировка выводов из эксперимента,</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создание рисунка экспериментальной установки и составление уравнения реакций.</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процессе проведения демонстраций, учащиеся осваивают этапы проведения опыта, поэтому наиболее эффективным является не простое описание опыта учителем, а использование эвристической беседы. При реализации такого сценария даже не очень сложный опыт занимает довольно много времени, но следование ему позволяет обеспечить понимание обучающимися приемов научного познания и использование их уже в самостоятельной деятельности в процессе ученического эксперимента. На начальном этапе изучения химии (в 8 - 9 классах) именно такой подход позволяет достичь максимальной эффективности от проведения лабораторных и практических работ, а также сформировать у учащихся ответственное отношение к эксперименту.</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оценивании ученических практических работ целесообразно учитывать подходы, </w:t>
      </w:r>
      <w:r>
        <w:rPr>
          <w:rFonts w:ascii="Times New Roman" w:hAnsi="Times New Roman"/>
          <w:sz w:val="24"/>
          <w:szCs w:val="24"/>
        </w:rPr>
        <w:lastRenderedPageBreak/>
        <w:t>использующие в экзаменационных материалах. Так, в настоящее время предлагается экспериментальное задание, предусматривающее выбор двух веществ из пяти предложенных и проведение с ними реакций, отражающих химические свойства указанного в условии задания вещества. Оценивание идет на основании отчета ученика о проделанной работе (уравнения реакций, выводы о наблюдениях) и на основании прямого наблюдения за действиями ученика по проведению опытов. При этом выделяются этапы отбора веществ и смешивания веществ в соответствии с пунктами инструкции к работе.</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Важнейшим направлением как демонстрационного, так и ученического эксперимента должно стать использование цифровой лаборатории, которая позволяет организовать химический эксперимент на принципиально новом уровне, перейти от качественной оценки наблюдаемых явлений к системному анализу количественных характеристик. При работе с датчиками цифровой лаборатории обеспечивается автоматизированный сбор и обработка данных, ход эксперимента может отображаться в виде графиков или показаний приборов, а результаты экспериментов могут сохраняться длительное время. Наиболее актуальным для химии является переход к количественным характеристикам, который можно проиллюстрировать следующими примерами: изучение строения пламени, определение pH в разных средах, определение скорости реакции, изучение влияния концентрации и температуры на скорость реакции.</w:t>
      </w:r>
    </w:p>
    <w:p w:rsidR="00820E5B" w:rsidRDefault="00820E5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Цифровая лаборатория позволяет реализовать межпредметные связи с другими предметами естественно-научного цикла, поскольку дает возможность выполнять интегрированные учебные исследования по естественным наукам, применять и осваивать элементы статистики и информационные технологии.</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Приложение N 6</w:t>
      </w:r>
    </w:p>
    <w:p w:rsidR="00820E5B" w:rsidRDefault="00820E5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 Методическим рекомендациям</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ПРИМЕРНЫЙ ПЕРЕЧЕНЬ ОБОРУДОВАНИЯ, РАСХОДНЫХ МАТЕРИАЛОВ, СРЕДСТВ ОБУЧЕНИЯ И ВОСПИТАНИЯ ДЛЯ СОЗДАНИЯ И ОБЕСПЕЧЕНИЯ ФУНКЦИОНИРОВАНИЯ ЦЕНТРОВ ОБРАЗОВАНИЯ ЕСТЕСТВЕННО-НАУЧНОЙ И ТЕХНОЛОГИЧЕСКОЙ НАПРАВЛЕННОСТЕЙ "ТОЧКА РОСТА" В ОБЩЕОБРАЗОВАТЕЛЬНЫХ ОРГАНИЗАЦИЯХ, РАСПОЛОЖЕННЫХ В СЕЛЬСКОЙ МЕСТНОСТИ И МАЛЫХ ГОРОДАХ</w:t>
      </w:r>
    </w:p>
    <w:p w:rsidR="00820E5B" w:rsidRDefault="00820E5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N 1</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СТАНДАРТНЫЙ КОМПЛЕКТ</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488"/>
        <w:gridCol w:w="2006"/>
        <w:gridCol w:w="2605"/>
        <w:gridCol w:w="2303"/>
        <w:gridCol w:w="2303"/>
      </w:tblGrid>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N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оборудования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Краткие примерные технические характеристики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Количество единиц для общеобразовательных организаций, не являющихся малокомплектными, ед. изм.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Количество единиц для общеобразовательных организаций, являющихся малокомплектными, ед. изм. </w:t>
            </w:r>
          </w:p>
        </w:tc>
      </w:tr>
      <w:tr w:rsidR="00820E5B">
        <w:tblPrEx>
          <w:tblCellMar>
            <w:top w:w="0" w:type="dxa"/>
            <w:left w:w="0" w:type="dxa"/>
            <w:bottom w:w="0" w:type="dxa"/>
            <w:right w:w="0" w:type="dxa"/>
          </w:tblCellMar>
        </w:tblPrEx>
        <w:trPr>
          <w:jc w:val="center"/>
        </w:trPr>
        <w:tc>
          <w:tcPr>
            <w:tcW w:w="7200" w:type="dxa"/>
            <w:gridSpan w:val="4"/>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Естественно-научная направленность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5400" w:type="dxa"/>
            <w:gridSpan w:val="3"/>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Общее оборудование (физика, химия, биология)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1.1.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Цифровая лаборатория ученическая (физика, химия, биология)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Цифровой датчик электропроводности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Цифровой датчик pH</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Цифровой датчик положения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Цифровой датчик температуры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Цифровой датчик абсолютного давления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Цифровой осциллографический датчик</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Весы электронные учебные 200 г</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Микроскоп: цифровой или оптический с увеличением от 80 X</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для изготовления микропрепаратов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Микропрепараты (набор)</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Соединительные провода, программное обеспечение, методические указания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 сопутствующих элементов для опытов по механике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 сопутствующих элементов для опытов по молекулярной физике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 сопутствующих элементов для опытов по электродинамике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комплект </w:t>
            </w:r>
            <w:r>
              <w:rPr>
                <w:rFonts w:ascii="Times New Roman" w:hAnsi="Times New Roman"/>
                <w:sz w:val="24"/>
                <w:szCs w:val="24"/>
              </w:rPr>
              <w:lastRenderedPageBreak/>
              <w:t xml:space="preserve">сопутствующих элементов для опытов по оптике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3 шт.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шт. </w:t>
            </w: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1.2.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Комплект посуды и оборудования для ученических опытов (физика, химия, биология).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Штатив лабораторный химический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чашек Петри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инструментов препаровальных</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Ложка для сжигания веществ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Ступка фарфоровая с пестиком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банок для хранения твердых реактивов (30 - 50 мл)</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склянок (флаконов) для хранения растворов реактивов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приборок (ПХ-14, ПХ-16)</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Прибор для получения газов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Спиртовка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Горючее для спиртовок</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Фильтровальная бумага (50 шт.)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Колба коническая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Палочка стеклянная (с резиновым наконечником)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Чашечка для выпаривания (выпарительная чашечка)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Мерный цилиндр (пластиковый)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Воронка стеклянная (малая)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Стакан стеклянный (100 мл)</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Газоотводная трубка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шт.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шт. </w:t>
            </w: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p>
        </w:tc>
        <w:tc>
          <w:tcPr>
            <w:tcW w:w="5400" w:type="dxa"/>
            <w:gridSpan w:val="3"/>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БИОЛОГИЯ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2.1.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Комплект влажных препаратов демонстрационный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назначение: демонстрационное,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материал контейнера: пластик,</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герметичная крышка: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крепление экспоната: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консервирующее вещество: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наклейка с наименованием: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не менее 10 препаратов из приведенного ниже списка: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Влажный препарат "Беззубка"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Влажный препарат "Гадюка"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Влажный препарат "Внутреннее строение брюхоногого моллюска"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Влажный препарат "Внутреннее строение крысы"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Влажный препарат "Внутреннее строение лягушки"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Влажный препарат "Внутреннее строение птицы"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Влажный препарат "Внутреннее строение рыбы"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Влажный препарат "Карась"</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Влажный препарат "Корень бобового растения с клубеньками"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Влажный препарат "Креветка"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Влажный препарат "Нереида"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Влажный препарат "Развитие костистой рыбы"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Влажный препарат "Развитие курицы"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Влажный препарат "Сцифомедуза"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Влажный препарат "Тритон"</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Влажный препарат "Черепаха болотная"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Влажный препарат "Уж"</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Влажный препарат "Ящерица"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шт. </w:t>
            </w: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2.2.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Комплект гербариев демонстрационный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Назначение: демонстрационное,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основа для крепления: гербарный лист,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список экспонатов: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не менее 8 гербариев из приведенного ниже списка: Назначение: демонстрационное,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основа для крепления: гербарный лист,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список экспонатов: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не менее 8 гербариев из приведенного ниже списка: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Гербарий "Деревья и кустарники"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Гербарий "Дикорастущие растения"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Гербарий "Кормовые растения"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Гербарий "Культурные растения"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Гербарий "Лекарственные растения"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Гербарий "Медоносные растения"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Гербарий "Морфология растений"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Гербарий "Основные группы растений"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Гербарий "Растительные сообщества"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Гербарий "Сельскохозяйственные растения"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Гербарий "Ядовитые растения"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Гербарий к курсу основ по общей биологии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шт.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шт. </w:t>
            </w: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2.3.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Комплект </w:t>
            </w:r>
            <w:r>
              <w:rPr>
                <w:rFonts w:ascii="Times New Roman" w:hAnsi="Times New Roman"/>
                <w:sz w:val="24"/>
                <w:szCs w:val="24"/>
              </w:rPr>
              <w:lastRenderedPageBreak/>
              <w:t xml:space="preserve">коллекций демонстрационный (по разным темам курса биологии)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Назначение: </w:t>
            </w:r>
            <w:r>
              <w:rPr>
                <w:rFonts w:ascii="Times New Roman" w:hAnsi="Times New Roman"/>
                <w:sz w:val="24"/>
                <w:szCs w:val="24"/>
              </w:rPr>
              <w:lastRenderedPageBreak/>
              <w:t>демонстрационное,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основа для крепления: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наклейки с наименованием: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не менее 10 коллекций из приведенного ниже списка: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Коллекция "Голосеменные растения"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Коллекция "Обитатели морского дна"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Коллекция "Палеонтологическая"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Коллекция "Представители отрядов насекомых" количество насекомых: не менее 4</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Коллекция "Примеры защитных приспособлений у насекомых"</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Коллекция "Приспособительные изменения в конечностях насекомых"</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Коллекция "Развитие насекомых с неполным превращением"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Коллекция "Развитие насекомых с полным превращением"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Коллекция "Развитие пшеницы"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Коллекция "Развитие бабочки"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Коллекция "Раковины моллюсков"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Коллекция "Семейства бабочек"</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Коллекция "Семейства жуков"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Коллекция "Семена и плоды"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Коллекция "Форма сохранности ископаемых растений и животных"</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Набор палеонтологических находок "Происхождение человека"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количество моделей: не менее 14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шт. </w:t>
            </w: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3. </w:t>
            </w:r>
          </w:p>
        </w:tc>
        <w:tc>
          <w:tcPr>
            <w:tcW w:w="5400" w:type="dxa"/>
            <w:gridSpan w:val="3"/>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ХИМИЯ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3.1.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Демонстрационное оборудование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Состав комплекта: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Столик подъемный Назначение: сборка учебных установок,</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размер столешницы: не менее 200 * 200 мм, плавный подъем с помощью винта: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Штатив демонстрационный химический: Назначение: демонстрация приборов и установок,</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опора, стержни, лапки, муфты, кольца: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возможность закрепления элементов на различной высоте: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Аппарат для проведения химических реакций: Назначение: демонстрация химических реакций,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поглотитель паров и газов: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материал колбы: стекло</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для электролиза демонстрационный: Назначение: изучение законов электролиза, сборка модели аккумулятора,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емкость: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электроды: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Комплект мерных колб малого объема: Назначение: </w:t>
            </w:r>
            <w:r>
              <w:rPr>
                <w:rFonts w:ascii="Times New Roman" w:hAnsi="Times New Roman"/>
                <w:sz w:val="24"/>
                <w:szCs w:val="24"/>
              </w:rPr>
              <w:lastRenderedPageBreak/>
              <w:t>демонстрационные опыты,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 колб: от 100 мл до 2000 мл,</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колб: не менее 10 шт.,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материал колб: стекло</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флаконов (250 - 300 мл для хранения растворов реактивов).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Назначение: хранение растворов реактивов,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флаконов: не менее 10 шт.,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материал флаконов: стекло</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пробка: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Прибор для опытов по химии с электрическим током (лабораторный)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Прибор для иллюстрации закона сохранения массы веществ: сосуд</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Ландольта: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пробка: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тип прибора: демонстрационный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Делительная воронка: Назначение: разделение двух жидкостей по плотности,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материал воронки: стекло</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Установка для перегонки веществ: Назначение: демонстрация очистки вещества, перегонка,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колбы, холодильник для охлаждения, аллонж, пробка: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длина установки: не менее 550 мм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Прибор для получения газов: назначение: получение газов в малых количествах,</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состав комплекта: не </w:t>
            </w:r>
            <w:r>
              <w:rPr>
                <w:rFonts w:ascii="Times New Roman" w:hAnsi="Times New Roman"/>
                <w:sz w:val="24"/>
                <w:szCs w:val="24"/>
              </w:rPr>
              <w:lastRenderedPageBreak/>
              <w:t>менее 6 предметов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Баня комбинированная лабораторная: Баня водяная: наличие, кольца сменные с отверстиями разного диаметра: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плитка электрическая: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Фарфоровая ступка с пестиком: Назначение: для размельчения крупных фракций веществ и приготовления порошковых смесей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Комплект термометров (0 - 100 C; 0 - 360 C)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шт. </w:t>
            </w: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3.2.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Комплект химических реактивов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Состав комплекта: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"Кислоты" (азотная, серная, соляная, ортофосфорная)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"Гидроксиды" (гидроксид бария, гидроксид калия, гидроксид кальция, гидроксид натрия)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"Оксиды металлов" (алюминия оксид, бария оксид, железа (III) оксид, кальция оксид, магния оксид, меди (II) оксид, цинка оксид)</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"Щелочные и щелочноземельные металлы" (литий, натрий, кальций)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"Металлы" (алюминий, железо, магний, медь, цинк, олово)</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"Щелочные и щелочноземельные металлы" (литий, натрий, кальций)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Набор "Огнеопасные вещества" (сера, фосфор (красный), оксид </w:t>
            </w:r>
            <w:r>
              <w:rPr>
                <w:rFonts w:ascii="Times New Roman" w:hAnsi="Times New Roman"/>
                <w:sz w:val="24"/>
                <w:szCs w:val="24"/>
              </w:rPr>
              <w:lastRenderedPageBreak/>
              <w:t>фосфора (V))</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"Галогены" (йод, бром)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"Галогениды" (алюминия хлорид, аммония хлорид, бария хлорид, железа (III) хлорид, калия йодид, калия хлорид, кальция хлорид, лития хлорид, магния хлорид, меди (II) хлорид, натрия бромид, натрия фторид, натрия хлорид, цинка хлорид)</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"Сульфаты, сульфиды, сульфиты" (алюминия сульфат, аммония сульфат, железа (II) сульфид, железа (II) сульфат, 7-ми водный, калия сульфат, кобальта (II) сульфат, магния сульфат, меди (II)) сульфат безводный, меди (II) сульфат 5-ти водный, натрия сульфид, натрия сульфит, натрия сульфат, натрия гидросульфат, никеля сульфат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"Карбонаты" (аммония карбонат, калия карбонат, меди (II) карбонат основной, натрия карбонат, натрия гидрокарбонат)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"Фосфаты. Силикаты" (калия моногидроортофосфат, натрия силикат 9-ти водный, натрия ортофосфат трехзамещенный, натрия дигидрофосфат)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Набор "Ацетаты. Роданиды. Соединения железа" (калия ацетат, калия ферро (II) гексацианид, калия </w:t>
            </w:r>
            <w:r>
              <w:rPr>
                <w:rFonts w:ascii="Times New Roman" w:hAnsi="Times New Roman"/>
                <w:sz w:val="24"/>
                <w:szCs w:val="24"/>
              </w:rPr>
              <w:lastRenderedPageBreak/>
              <w:t>ферро (III) гексационид, калия роданид, натрия ацетат, свинца ацетат)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"Соединения марганца" (калия перманганат, марганца (IV) оксид, марганца (II) сульфат, марганца хлорид)</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"Соединения хрома" (аммония дихромат, калия дихромат, калия хромат, хрома (III) хлорид 6-ти водный)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"Нитраты" (алюминия нитрат, аммония нитрат, калия нитрат, кальция нитрат, меди (II) нитрат, натрия нитрат, серебра нитрат)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"Индикаторы" (лакмоид, метиловый оранжевый, фенолфталеин)</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"Кислородсодержащие органические вещества" (ацетон, глицерин, диэтиловый эфир, спирт н-бутиловый, спирт изоамиловый, спирт изобутиловый, спирт этиловый, фенол, формалин, этиленгликоль, уксусно-этиловый эфир)</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"Углеводороды" (бензин, гексан, нефть, толуол, циклогескан)</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Набор "Кислоты органические" (кислота аминоуксусная, кислота бензойная, кислота масляная, кислота муравьиная, кислота олеиновая, кислота пальмитиновая, кислота стеариновая, кислота </w:t>
            </w:r>
            <w:r>
              <w:rPr>
                <w:rFonts w:ascii="Times New Roman" w:hAnsi="Times New Roman"/>
                <w:sz w:val="24"/>
                <w:szCs w:val="24"/>
              </w:rPr>
              <w:lastRenderedPageBreak/>
              <w:t>уксусная, кислота щавелевая)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Набор "Углеводы. Амины" (анилин, анилин сернокислый, Д-глюкоза, метиламин гидрохлорид, сахароза)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шт. </w:t>
            </w: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3.3.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Комплект коллекций из списка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Назначение: демонстрационное,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вид упаковки: коробка,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описание: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Состав комплекта: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Коллекция "Волокна"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Коллекция "Каменный уголь и продукты его переработки"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Коллекция "Металлы и сплавы"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Коллекция "Минералы и горные породы" (49 видов)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Коллекция "Минеральные удобрения"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Коллекция "Нефть и продукты ее переработки"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Коллекция "Пластмассы"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Коллекция "Топливо"</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Коллекция "Чугун и сталь"</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Коллекция "Каучук"</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Коллекция "Шкала твердости"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Наборы для моделирования строения органических веществ (ученические) не менее 4 шт.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шт.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шт. </w:t>
            </w: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p>
        </w:tc>
        <w:tc>
          <w:tcPr>
            <w:tcW w:w="5400" w:type="dxa"/>
            <w:gridSpan w:val="3"/>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ФИЗИКА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Состав комплекта: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Штатив демонстрационный: Назначение: проведение демонстрационных опытов, основание, стержень, лапки, кольца, </w:t>
            </w:r>
            <w:r>
              <w:rPr>
                <w:rFonts w:ascii="Times New Roman" w:hAnsi="Times New Roman"/>
                <w:sz w:val="24"/>
                <w:szCs w:val="24"/>
              </w:rPr>
              <w:lastRenderedPageBreak/>
              <w:t>муфты: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Столик подъемный: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Тип столика: учебный/лабораторный,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опора, стержень винтовой, винт регулировочный: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функция подъема и опускания столика: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Источник постоянного и переменного напряжения: Назначение: для питания регулируемым переменным и постоянным током электрических схем,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частота, Гц: 50,</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потребляемая мощность, ВА: 10</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Манометр жидкостной демонстрационный: Назначение: для измерения давления до 300 мм водяного столба выше и ниже атмосферного давления,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стеклянная U-образная трубка на подставке: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Камертон на резонансном ящике: Назначение: для демонстрации звуковых колебаний и волн,</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два камертона на резонирующих ящиках: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резиновый молоточек: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Насос вакуумный с электроприводом: Назначение: создание разряжения или избыточного давления в замкнутых объемах,</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опыты: кипение </w:t>
            </w:r>
            <w:r>
              <w:rPr>
                <w:rFonts w:ascii="Times New Roman" w:hAnsi="Times New Roman"/>
                <w:sz w:val="24"/>
                <w:szCs w:val="24"/>
              </w:rPr>
              <w:lastRenderedPageBreak/>
              <w:t>жидкости при пониженном давлении, внешнее и внутреннее давление и др.</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Тарелка вакуумная: Назначение: демонстрация опытов в замкнутом объеме с разреженным воздухом,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основание с краном, колокол из толстого стекла, резиновая прокладка, электрический звонок: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Ведерко Архимеда: Назначение: демонстрация действия жидкости на погруженное в нее тело и измерение величины выталкивающей силы,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ведерко, тело цилиндрической формы, пружинный динамометр: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Огниво воздушное: Назначение: демонстрация воспламенения горючей смеси при ее быстром сжатии,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толстостенный цилиндр, поршень на металлическом штоке с рукояткой, подставка для цилиндра: наличие </w:t>
            </w:r>
          </w:p>
        </w:tc>
        <w:tc>
          <w:tcPr>
            <w:tcW w:w="1800" w:type="dxa"/>
            <w:vMerge w:val="restart"/>
            <w:tcBorders>
              <w:top w:val="single" w:sz="6" w:space="0" w:color="auto"/>
              <w:left w:val="single" w:sz="6" w:space="0" w:color="auto"/>
              <w:bottom w:val="nil"/>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1 шт. </w:t>
            </w:r>
          </w:p>
        </w:tc>
        <w:tc>
          <w:tcPr>
            <w:tcW w:w="1800" w:type="dxa"/>
            <w:vMerge w:val="restart"/>
            <w:tcBorders>
              <w:top w:val="single" w:sz="6" w:space="0" w:color="auto"/>
              <w:left w:val="single" w:sz="6" w:space="0" w:color="auto"/>
              <w:bottom w:val="nil"/>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шт. </w:t>
            </w: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nil"/>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4.1. </w:t>
            </w:r>
          </w:p>
        </w:tc>
        <w:tc>
          <w:tcPr>
            <w:tcW w:w="1800" w:type="dxa"/>
            <w:tcBorders>
              <w:top w:val="single" w:sz="6" w:space="0" w:color="auto"/>
              <w:left w:val="single" w:sz="6" w:space="0" w:color="auto"/>
              <w:bottom w:val="nil"/>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Оборудование для демонстрационных опытов </w:t>
            </w:r>
          </w:p>
        </w:tc>
        <w:tc>
          <w:tcPr>
            <w:tcW w:w="1800" w:type="dxa"/>
            <w:tcBorders>
              <w:top w:val="single" w:sz="6" w:space="0" w:color="auto"/>
              <w:left w:val="single" w:sz="6" w:space="0" w:color="auto"/>
              <w:bottom w:val="nil"/>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Прибор для демонстрации давления в жидкости: Назначение: демонстрация изменения давления с глубиной погружения,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давления, кронштейн для крепления на стенке сосуда: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Прибор для демонстрации </w:t>
            </w:r>
            <w:r>
              <w:rPr>
                <w:rFonts w:ascii="Times New Roman" w:hAnsi="Times New Roman"/>
                <w:sz w:val="24"/>
                <w:szCs w:val="24"/>
              </w:rPr>
              <w:lastRenderedPageBreak/>
              <w:t>атмосферного давления (магдебургские полушария): Назначение: демонстрация силы атмосферного давления,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два разъемных металлических полушария с прочными ручками и хорошо пришлифованными краями, ниппель с краном: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создаваемое внутри шаров вакуумметрическое давление: не менее 0,05 МПа,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максимальное разрывающее усилие: не менее 90 Н</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тел равного объема: Назначение: для определения и сравнения теплоемкости и плотности различных твердых материалов,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цилиндры из различных материалов: не менее 3 шт.,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крючки для подвешивания цилиндров: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тел равной массы: Назначение: для определения и сравнению плотности различных материалов,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цилиндры из различных материалов: не менее 3 шт.,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крючки для подвешивания цилиндров: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Сосуды сообщающиеся: Назначение: демонстрация одинакового уровня однородной жидкости в </w:t>
            </w:r>
            <w:r>
              <w:rPr>
                <w:rFonts w:ascii="Times New Roman" w:hAnsi="Times New Roman"/>
                <w:sz w:val="24"/>
                <w:szCs w:val="24"/>
              </w:rPr>
              <w:lastRenderedPageBreak/>
              <w:t>сообщающихся между собой сосудах разной формы,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сообщающиеся стеклянные трубки разной формы: не менее 3 шт.,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подставка: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Трубка Ньютона: Назначение: демонстрация одновременности падения различных тел в разреженном воздухе,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функция подключения к вакуумному насосу: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длина трубки: не менее 80 см.,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резиновые пробки, ниппель: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тел в трубке: не менее 3 шт.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Шар Паскаля: Назначение: демонстрация передачи производимого на жидкость давления в замкнутом сосуде, демонстрация подъема жидкости под действием атмосферного давления,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металлический цилиндр с оправами, поршень со штоком, полый металлический шар с отверстиями: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длина цилиндра: не менее 22 см,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диаметр шара: не менее 8 см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Шар с кольцом: Назначение: демонстрация расширения твердого тела при нагревании,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штатив, металлическое кольцо с муфтой, шар с цепочкой: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длина цепочки: не менее 80 мм,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диаметр шара: не менее 25 мм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Цилиндры свинцовые со стругом: Назначение: демонстрация взаимного притяжения между атомами твердых тел,</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одинаковых цилиндров: не менее 2 шт.,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материал цилиндров: сталь и свинец,</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крючки для подвешивания: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струг, направляющая трубка: наличие </w:t>
            </w:r>
          </w:p>
        </w:tc>
        <w:tc>
          <w:tcPr>
            <w:tcW w:w="1800" w:type="dxa"/>
            <w:vMerge/>
            <w:tcBorders>
              <w:top w:val="nil"/>
              <w:left w:val="single" w:sz="6" w:space="0" w:color="auto"/>
              <w:bottom w:val="nil"/>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p>
        </w:tc>
        <w:tc>
          <w:tcPr>
            <w:tcW w:w="1800" w:type="dxa"/>
            <w:vMerge/>
            <w:tcBorders>
              <w:top w:val="nil"/>
              <w:left w:val="single" w:sz="6" w:space="0" w:color="auto"/>
              <w:bottom w:val="nil"/>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p>
        </w:tc>
      </w:tr>
      <w:tr w:rsidR="00820E5B">
        <w:tblPrEx>
          <w:tblCellMar>
            <w:top w:w="0" w:type="dxa"/>
            <w:left w:w="0" w:type="dxa"/>
            <w:bottom w:w="0" w:type="dxa"/>
            <w:right w:w="0" w:type="dxa"/>
          </w:tblCellMar>
        </w:tblPrEx>
        <w:trPr>
          <w:jc w:val="center"/>
        </w:trPr>
        <w:tc>
          <w:tcPr>
            <w:tcW w:w="1800" w:type="dxa"/>
            <w:tcBorders>
              <w:top w:val="nil"/>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p>
        </w:tc>
        <w:tc>
          <w:tcPr>
            <w:tcW w:w="1800" w:type="dxa"/>
            <w:tcBorders>
              <w:top w:val="nil"/>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p>
        </w:tc>
        <w:tc>
          <w:tcPr>
            <w:tcW w:w="1800" w:type="dxa"/>
            <w:tcBorders>
              <w:top w:val="nil"/>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Прибор Ленца: Назначение: для исследования зависимости направления индукционного тока от характера изменения магнитного потока,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стойка с коромыслом: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алюминиевых колец: не менее 2 шт.,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прорезь в одном из колец: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Магнит дугообразный демонстрационный: Назначение: демонстрация свойств постоянных магнитов,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тип магнита: намагниченный брусок,</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цветов магнита: не менее 2,</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обозначение полюсов магнита: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Магнит полосовой демонстрационный (пара): Назначение: демонстрация свойств постоянных магнитов,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тип магнита: намагниченный брусок прямолинейной формы,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цветов магнита: не менее 2,</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обозначение полюсов магнита: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Стрелки магнитные на штативах: Назначение: демонстрация взаимодействия полюсов магнитов, ориентации магнита в магнитном поле,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намагниченная стрелка: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цветов магнита: не менее 2,</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подставка: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демонстрационный "Электростатика" (электроскопы (2 шт.), султан (2 шт.), палочка стеклянная, палочка эбонитовая, штативы изолирующие (2 шт.)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Машина электрофорная или высоковольтный источник: Назначение: для получения электрического заряда высокого потенциала и получения искрового разряда,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диски на стойках: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лейденских банок: не менее 2,</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подставка: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Комплект проводов: Длина: не менее 500 мм - 4 шт., 250 мм - 4 шт., 100 мм - 8 шт., назначение: для подключения демонстрационных приборов и оборудования к </w:t>
            </w:r>
            <w:r>
              <w:rPr>
                <w:rFonts w:ascii="Times New Roman" w:hAnsi="Times New Roman"/>
                <w:sz w:val="24"/>
                <w:szCs w:val="24"/>
              </w:rPr>
              <w:lastRenderedPageBreak/>
              <w:t xml:space="preserve">источнику тока, для сборки электрических цепей, включая элементы из работы "Постоянный электрический ток" </w:t>
            </w:r>
          </w:p>
        </w:tc>
        <w:tc>
          <w:tcPr>
            <w:tcW w:w="1800" w:type="dxa"/>
            <w:tcBorders>
              <w:top w:val="nil"/>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p>
        </w:tc>
        <w:tc>
          <w:tcPr>
            <w:tcW w:w="1800" w:type="dxa"/>
            <w:tcBorders>
              <w:top w:val="nil"/>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4.2.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Оборудование для лабораторных работ и ученических опытов (на базе комплектов для ОГЭ)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Штатив лабораторный с держателями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весы электронные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мензурка, предел измерения 250 мл</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динамометр 1 Н</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динамометр 5 Н</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цилиндр стальной, 25 см3</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цилиндр алюминиевый 25 см3</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цилиндр алюминиевый 34 см3</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цилиндр пластиковый 56 см3 (для измерения силы Архимеда)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пружина 40 Н/м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пружина 10 Н/м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грузы по 100 г (6 шт.)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груз наборный устанавливает массу с шагом 10 г</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мерная лента, линейка, транспортир</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брусок с крючком и нитью</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направляющая длиной не менее 500 мм. Должны быть обеспечены разные коэффициенты трения бруска по направляющей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секундомер электронный с датчиком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направляющая со шкалой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брусок деревянный с пусковым магнитом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нитяной маятник с грузом с пусковым магнитом и с возможностью </w:t>
            </w:r>
            <w:r>
              <w:rPr>
                <w:rFonts w:ascii="Times New Roman" w:hAnsi="Times New Roman"/>
                <w:sz w:val="24"/>
                <w:szCs w:val="24"/>
              </w:rPr>
              <w:lastRenderedPageBreak/>
              <w:t>изменения длины нити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рычаг</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блок подвижный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блок неподвижный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калориметр</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термометр</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источник питания постоянного тока (выпрямитель с выходным напряжением 36 - 42 В или батарейный блок с возможностью регулировки выходного напряжения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вольтметр двухпредельный (3 В, 6 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амперметр двухпредельный (0,6 А, 3 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резистор 4,7 Ом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резистор 5,7 Ом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лампочка (4,8 В, 0,5 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переменный резистор (реостат) до 10 Ом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соединительные провода, 20 шт.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ключ</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проволочных резисторов plS</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собирающая линза, фокусное расстояние 100 мм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собирающая линза, фокусное расстояние 50 мм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рассеивающая линза, фокусное расстояние - 75 мм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экран</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оптическая скамья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слайд "Модель предмета"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осветитель</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полуцилиндр с планшетом с круговым транспортиром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Прибор для изучения </w:t>
            </w:r>
            <w:r>
              <w:rPr>
                <w:rFonts w:ascii="Times New Roman" w:hAnsi="Times New Roman"/>
                <w:sz w:val="24"/>
                <w:szCs w:val="24"/>
              </w:rPr>
              <w:lastRenderedPageBreak/>
              <w:t>газовых законов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Капилляры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Дифракционная решетка 600 штрихов/мм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Дифракционная решетка 300 штрихов/мм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Зеркало</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Лазерная указка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Поляроид в рамке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Щели Юнга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Катушка моток</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Блок диодов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Блок конденсаторов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Компас</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Магнит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Электромагнит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Опилки железные в банке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8 шт.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шт. </w:t>
            </w:r>
          </w:p>
        </w:tc>
      </w:tr>
      <w:tr w:rsidR="00820E5B">
        <w:tblPrEx>
          <w:tblCellMar>
            <w:top w:w="0" w:type="dxa"/>
            <w:left w:w="0" w:type="dxa"/>
            <w:bottom w:w="0" w:type="dxa"/>
            <w:right w:w="0" w:type="dxa"/>
          </w:tblCellMar>
        </w:tblPrEx>
        <w:trPr>
          <w:jc w:val="center"/>
        </w:trPr>
        <w:tc>
          <w:tcPr>
            <w:tcW w:w="7200" w:type="dxa"/>
            <w:gridSpan w:val="4"/>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Технологическая направленность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Образовательный конструктор для практики блочного программирования с комплектом датчиков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Робототехнический набор предназначен для изучения основ робототехники, деталей, узлов и механизмов, необходимых для создания робототехнических устройств.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представляет собой комплект структурных элементов, соединительных элементов и электротехнических компонентов.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Набор позволяет собирать (и программировать собираемые модели), из элементов, входящих в его состав, модели мехатронных и робототехнических устройств с автоматизированным управлением, в том числе на колесном ходу, а также конструкций, </w:t>
            </w:r>
            <w:r>
              <w:rPr>
                <w:rFonts w:ascii="Times New Roman" w:hAnsi="Times New Roman"/>
                <w:sz w:val="24"/>
                <w:szCs w:val="24"/>
              </w:rPr>
              <w:lastRenderedPageBreak/>
              <w:t>основанных на использовании передач (в том числе червячных и зубчатых), а также рычагов.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светодиодный матричный дисплей с белой подсветкой на контроллере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портов ввода/вывода на контроллере не менее 6</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кнопок не менее 4</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количество элементов: не менее 520 шт, в том числе: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программируемый блок управления, который может работать автономно и в потоковом режиме;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сервомоторы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датчик силы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датчик расстояния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датчик цвета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аккумуляторная батарея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Пластиковые структурные элементы, включая перфорированные элементы: балки, кубики, оси и валы, соединительные элементы к осям, шестерни, предназначенные для создания червячных и зубчатых передач, соединительные и крепежные элементы;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7) Программное обеспечение, используемое для программирования собираемых робототехнических моделей и устройств, </w:t>
            </w:r>
            <w:r>
              <w:rPr>
                <w:rFonts w:ascii="Times New Roman" w:hAnsi="Times New Roman"/>
                <w:sz w:val="24"/>
                <w:szCs w:val="24"/>
              </w:rPr>
              <w:lastRenderedPageBreak/>
              <w:t xml:space="preserve">доступно для скачивания из сети Интернет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шт. </w:t>
            </w:r>
          </w:p>
        </w:tc>
      </w:tr>
      <w:tr w:rsidR="00820E5B">
        <w:tblPrEx>
          <w:tblCellMar>
            <w:top w:w="0" w:type="dxa"/>
            <w:left w:w="0" w:type="dxa"/>
            <w:bottom w:w="0" w:type="dxa"/>
            <w:right w:w="0" w:type="dxa"/>
          </w:tblCellMar>
        </w:tblPrEx>
        <w:trPr>
          <w:jc w:val="center"/>
        </w:trPr>
        <w:tc>
          <w:tcPr>
            <w:tcW w:w="1800" w:type="dxa"/>
            <w:vMerge w:val="restart"/>
            <w:tcBorders>
              <w:top w:val="single" w:sz="6" w:space="0" w:color="auto"/>
              <w:left w:val="single" w:sz="6" w:space="0" w:color="auto"/>
              <w:bottom w:val="nil"/>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2. </w:t>
            </w:r>
          </w:p>
        </w:tc>
        <w:tc>
          <w:tcPr>
            <w:tcW w:w="1800" w:type="dxa"/>
            <w:vMerge w:val="restart"/>
            <w:tcBorders>
              <w:top w:val="single" w:sz="6" w:space="0" w:color="auto"/>
              <w:left w:val="single" w:sz="6" w:space="0" w:color="auto"/>
              <w:bottom w:val="nil"/>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Образовательный набор по механике, мехатронике и робототехнике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 для изучения основ электроники и робототехники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Набор должен быть предназначен для проведения учебных занятий по электронике и схемотехнике с целью изучения наиболее распространенной элементной базы, применяемой для инженерно-технического творчества учащихся и разработки учебных моделей роботов. Набор должен позволять учащимся на практике освоить основные технологии проектирования робототехнических комплексов на примере учебных моделей роботов, а также изучить основные технические решения в области кибернетических и встраиваемых систем. </w:t>
            </w:r>
          </w:p>
        </w:tc>
        <w:tc>
          <w:tcPr>
            <w:tcW w:w="1800" w:type="dxa"/>
            <w:vMerge w:val="restart"/>
            <w:tcBorders>
              <w:top w:val="single" w:sz="6" w:space="0" w:color="auto"/>
              <w:left w:val="single" w:sz="6" w:space="0" w:color="auto"/>
              <w:bottom w:val="nil"/>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шт. </w:t>
            </w:r>
          </w:p>
        </w:tc>
        <w:tc>
          <w:tcPr>
            <w:tcW w:w="1800" w:type="dxa"/>
            <w:vMerge w:val="restart"/>
            <w:tcBorders>
              <w:top w:val="single" w:sz="6" w:space="0" w:color="auto"/>
              <w:left w:val="single" w:sz="6" w:space="0" w:color="auto"/>
              <w:bottom w:val="nil"/>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шт. </w:t>
            </w:r>
          </w:p>
        </w:tc>
      </w:tr>
      <w:tr w:rsidR="00820E5B">
        <w:tblPrEx>
          <w:tblCellMar>
            <w:top w:w="0" w:type="dxa"/>
            <w:left w:w="0" w:type="dxa"/>
            <w:bottom w:w="0" w:type="dxa"/>
            <w:right w:w="0" w:type="dxa"/>
          </w:tblCellMar>
        </w:tblPrEx>
        <w:trPr>
          <w:jc w:val="center"/>
        </w:trPr>
        <w:tc>
          <w:tcPr>
            <w:tcW w:w="1800" w:type="dxa"/>
            <w:vMerge/>
            <w:tcBorders>
              <w:top w:val="nil"/>
              <w:left w:val="single" w:sz="6" w:space="0" w:color="auto"/>
              <w:bottom w:val="nil"/>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p>
        </w:tc>
        <w:tc>
          <w:tcPr>
            <w:tcW w:w="1800" w:type="dxa"/>
            <w:vMerge/>
            <w:tcBorders>
              <w:top w:val="nil"/>
              <w:left w:val="single" w:sz="6" w:space="0" w:color="auto"/>
              <w:bottom w:val="nil"/>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состав комплекта должен входить набор конструктивных элементов для сборки макета манипуляционного робота, комплект металлических конструктивных элементов для сборки макета мобильного робота и т.п.</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 состав комплекта входит набор электронных компонентов для изучения основ </w:t>
            </w:r>
            <w:r>
              <w:rPr>
                <w:rFonts w:ascii="Times New Roman" w:hAnsi="Times New Roman"/>
                <w:sz w:val="24"/>
                <w:szCs w:val="24"/>
              </w:rPr>
              <w:lastRenderedPageBreak/>
              <w:t>электроники и схемотехники, а также комплект приводов и датчиков различного типа для разработки робототехнических комплексов.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 состав комплекта должно входить: моторы с энкодером - не менее 2 шт, сервопривод большой - не менее 4 шт, сервопривод малый - не менее 2 шт, инфракрасный датчик - не менее 3 шт, ультразвуковой датчик - не менее 3 шт, датчик температуры - не менее 1 шт, датчик освещенности - не менее 1 шт, набор электронных компонентов (резисторы, конденсаторы, светодиоды различного номинала), комплект проводов для беспаечного прототипирования, плата беспаечного прототипирования, аккумулятор и зарядное устройство. </w:t>
            </w:r>
          </w:p>
        </w:tc>
        <w:tc>
          <w:tcPr>
            <w:tcW w:w="1800" w:type="dxa"/>
            <w:vMerge/>
            <w:tcBorders>
              <w:top w:val="nil"/>
              <w:left w:val="single" w:sz="6" w:space="0" w:color="auto"/>
              <w:bottom w:val="nil"/>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p>
        </w:tc>
        <w:tc>
          <w:tcPr>
            <w:tcW w:w="1800" w:type="dxa"/>
            <w:vMerge/>
            <w:tcBorders>
              <w:top w:val="nil"/>
              <w:left w:val="single" w:sz="6" w:space="0" w:color="auto"/>
              <w:bottom w:val="nil"/>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p>
        </w:tc>
      </w:tr>
      <w:tr w:rsidR="00820E5B">
        <w:tblPrEx>
          <w:tblCellMar>
            <w:top w:w="0" w:type="dxa"/>
            <w:left w:w="0" w:type="dxa"/>
            <w:bottom w:w="0" w:type="dxa"/>
            <w:right w:w="0" w:type="dxa"/>
          </w:tblCellMar>
        </w:tblPrEx>
        <w:trPr>
          <w:jc w:val="center"/>
        </w:trPr>
        <w:tc>
          <w:tcPr>
            <w:tcW w:w="1800" w:type="dxa"/>
            <w:vMerge/>
            <w:tcBorders>
              <w:top w:val="nil"/>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p>
        </w:tc>
        <w:tc>
          <w:tcPr>
            <w:tcW w:w="1800" w:type="dxa"/>
            <w:vMerge/>
            <w:tcBorders>
              <w:top w:val="nil"/>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 состав комплекта должен входить программируемый контроллер, программируемый в среде Arduino IDE или аналогичных свободно распространяемых средах разработки. Программируемый контроллер должен обладать портами для подключения цифровых и аналоговых устройств, интерфейсами TTL, </w:t>
            </w:r>
            <w:r>
              <w:rPr>
                <w:rFonts w:ascii="Times New Roman" w:hAnsi="Times New Roman"/>
                <w:sz w:val="24"/>
                <w:szCs w:val="24"/>
              </w:rPr>
              <w:lastRenderedPageBreak/>
              <w:t>USART, I2C, SPI, Ethernet, Bluetooth или WiFi.</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состав комплекта должен входить модуль технического зрения, представляющий собой вычислительное устройство со встроенным микропроцессором (кол-во ядер - не менее 4 шт, частота ядра не менее 1.2 ГГц, объем ОЗУ - не менее 512 Мб, объем встроенной памяти - не менее 8 Гб), интегрированной камерой (максимальное разрешение видеопотока, передаваемого по интерфейсу USB - не менее 2592 x 1944 ед.) и оптической системой. Модуль технического зрения должен обладать совместимостью с различными программируемыми контроллерами с помощью интерфейсов - TTL, UART, I2C, SPI, Ethernet. Модуль технического зрения должен иметь встроенное программное обеспечение на основе операционной системы Linux, позволяющее осуществлять настройку системы машинного обучения параметров нейронных сетей для обнаружения объектов, определения их параметров и дальнейшей идентификации.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Комплект должен обеспечивать возможность изучения основ разработки программных и аппаратных комплексов инженерных систем, решений в сфере "Интернет вещей", а также решений в области робототехники, искусственного интеллекта и машинного обучения. </w:t>
            </w:r>
          </w:p>
        </w:tc>
        <w:tc>
          <w:tcPr>
            <w:tcW w:w="1800" w:type="dxa"/>
            <w:vMerge/>
            <w:tcBorders>
              <w:top w:val="nil"/>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p>
        </w:tc>
        <w:tc>
          <w:tcPr>
            <w:tcW w:w="1800" w:type="dxa"/>
            <w:vMerge/>
            <w:tcBorders>
              <w:top w:val="nil"/>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p>
        </w:tc>
      </w:tr>
      <w:tr w:rsidR="00820E5B">
        <w:tblPrEx>
          <w:tblCellMar>
            <w:top w:w="0" w:type="dxa"/>
            <w:left w:w="0" w:type="dxa"/>
            <w:bottom w:w="0" w:type="dxa"/>
            <w:right w:w="0" w:type="dxa"/>
          </w:tblCellMar>
        </w:tblPrEx>
        <w:trPr>
          <w:jc w:val="center"/>
        </w:trPr>
        <w:tc>
          <w:tcPr>
            <w:tcW w:w="7200" w:type="dxa"/>
            <w:gridSpan w:val="4"/>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Компьютерное оборудование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Ноутбук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Форм-фактор: ноутбук;</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Жесткая, неотключаемая клавиатура: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Русская раскладка клавиатуры: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Диагональ экрана: не менее 15,6 дюймов;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Разрешение экрана: не менее 1920 x 1080 пикселей;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ядер процессора: не менее 4;</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потоков: не менее 8;</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Базовая тактовая частота процессора: не менее 1 ГГц;</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Максимальная тактовая частота процессора: не менее 2,5 ГГц;</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Кэш-память процессора: не менее 6 Мбайт;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 установленной оперативной памяти: не менее 8 Гбайт;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 поддерживаемой оперативной памяти (для возможности расширения): не менее 24 Гбайт;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 накопителя SSD: не менее 240 Гбайт;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Время автономной </w:t>
            </w:r>
            <w:r>
              <w:rPr>
                <w:rFonts w:ascii="Times New Roman" w:hAnsi="Times New Roman"/>
                <w:sz w:val="24"/>
                <w:szCs w:val="24"/>
              </w:rPr>
              <w:lastRenderedPageBreak/>
              <w:t>работы от батареи: не менее 6 часов;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Вес ноутбука с установленным аккумулятором: не более 1,8 кг;</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Внешний интерфейс USB стандарта не ниже 3.0: не менее трех свободных;</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Внешний интерфейс LAN (использование переходников не предусмотрено):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модулей и интерфейсов (использование переходников не предусмотрено): VGA, HDMI;</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Беспроводная связь Wi-Fi: наличие с поддержкой стандарта IEEE 802.11n или современнее;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Web-камера: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Манипулятор "мышь":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наличие.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3 шт.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шт. </w:t>
            </w: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МФУ (принтер, сканер, копир)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Тип устройства: МФУ (функции печати, копирования, сканирования);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Формат бумаги: не менее A4;</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Цветность: черно-белый;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Технология печати: лазерная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Максимальное </w:t>
            </w:r>
            <w:r>
              <w:rPr>
                <w:rFonts w:ascii="Times New Roman" w:hAnsi="Times New Roman"/>
                <w:sz w:val="24"/>
                <w:szCs w:val="24"/>
              </w:rPr>
              <w:lastRenderedPageBreak/>
              <w:t>разрешение печати: не менее 1200 x 1200 точек;</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Интерфейсы: Wi-Fi, Ethernet (RJ-45), USB.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шт. </w:t>
            </w:r>
          </w:p>
        </w:tc>
      </w:tr>
    </w:tbl>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Таблица N 2</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ПРОФИЛЬНЫЙ КОМПЛЕКТ ОБОРУДОВАНИЯ</w:t>
      </w:r>
    </w:p>
    <w:p w:rsidR="00820E5B" w:rsidRDefault="00820E5B">
      <w:pPr>
        <w:widowControl w:val="0"/>
        <w:autoSpaceDE w:val="0"/>
        <w:autoSpaceDN w:val="0"/>
        <w:adjustRightInd w:val="0"/>
        <w:spacing w:after="0" w:line="240" w:lineRule="auto"/>
        <w:rPr>
          <w:rFonts w:ascii="Times New Roman" w:hAnsi="Times New Roman"/>
          <w:sz w:val="24"/>
          <w:szCs w:val="24"/>
        </w:rPr>
      </w:pPr>
    </w:p>
    <w:p w:rsidR="00820E5B" w:rsidRDefault="00820E5B">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15"/>
        <w:gridCol w:w="2149"/>
        <w:gridCol w:w="2982"/>
        <w:gridCol w:w="2369"/>
        <w:gridCol w:w="2289"/>
      </w:tblGrid>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N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оборудования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Краткие примерные технические характеристики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Количество единиц для профильного комплекта (общеобразовательные организации, не являющиеся малокомплектным), ед. изм.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Количество единиц для профильного комплекта (малокомплектные общеобразовательные организации), ед. изм. </w:t>
            </w:r>
          </w:p>
        </w:tc>
      </w:tr>
      <w:tr w:rsidR="00820E5B">
        <w:tblPrEx>
          <w:tblCellMar>
            <w:top w:w="0" w:type="dxa"/>
            <w:left w:w="0" w:type="dxa"/>
            <w:bottom w:w="0" w:type="dxa"/>
            <w:right w:w="0" w:type="dxa"/>
          </w:tblCellMar>
        </w:tblPrEx>
        <w:trPr>
          <w:jc w:val="center"/>
        </w:trPr>
        <w:tc>
          <w:tcPr>
            <w:tcW w:w="9000" w:type="dxa"/>
            <w:gridSpan w:val="5"/>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БАЗОВАЯ (ОБЯЗАТЕЛЬНАЯ ЧАСТЬ) </w:t>
            </w:r>
          </w:p>
        </w:tc>
      </w:tr>
      <w:tr w:rsidR="00820E5B">
        <w:tblPrEx>
          <w:tblCellMar>
            <w:top w:w="0" w:type="dxa"/>
            <w:left w:w="0" w:type="dxa"/>
            <w:bottom w:w="0" w:type="dxa"/>
            <w:right w:w="0" w:type="dxa"/>
          </w:tblCellMar>
        </w:tblPrEx>
        <w:trPr>
          <w:jc w:val="center"/>
        </w:trPr>
        <w:tc>
          <w:tcPr>
            <w:tcW w:w="9000" w:type="dxa"/>
            <w:gridSpan w:val="5"/>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Естественно-научная направленность </w:t>
            </w: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Цифровая лаборатория по биологии (ученическая)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выполнение лабораторных работ на уроках по биологии в основной школе и проектно-исследовательской деятельности учащихся.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Комплектация: Беспроводной мультидатчик по биологии с 6-ю встроенными датчиками: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влажности с диапазоном измерения 0...100%</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освещенности с диапазоном измерения не уже чем от 0 до 180000 лк</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pH с диапазоном измерения не уже чем от 0 до 14 pH</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температуры с диапазоном измерения не уже чем от -20 до +140 C</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Датчик электропроводимости с диапазонами измерения не уже чем от 0 до 200 мкСм; </w:t>
            </w:r>
            <w:r>
              <w:rPr>
                <w:rFonts w:ascii="Times New Roman" w:hAnsi="Times New Roman"/>
                <w:sz w:val="24"/>
                <w:szCs w:val="24"/>
              </w:rPr>
              <w:lastRenderedPageBreak/>
              <w:t>от 0 до 2000 мкСм; от 0 до 20000 мкСм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температуры окружающей среды с диапазоном измерения не уже чем от -20 до +40</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Аксессуары: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Кабель USB соединительный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Зарядное устройство с кабелем miniUSB</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USB Адаптер Bluetooth 4.1 Low Energy</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Краткое руководство по эксплуатации цифровой лаборатории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Цифровая видеокамера с металлическим штативом, разрешение не менее 0,3 Мпикс</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Программное обеспечение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Методические рекомендации не менее 30 работ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Упаковка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Наличие русскоязычного сайта поддержки, наличие видеороликов.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3 шт.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шт. </w:t>
            </w: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Цифровая лаборатория по химии (ученическая)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выполнение лабораторных работ по химии на уроках в основной школе и проектно-исследовательской деятельности учащихся.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Комплектация: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Беспроводной мультидатчик по химии с 4-мя встроенными датчиками: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pH с диапазоном измерения не уже чем от 0 до 14 pH</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высокой температуры (термопарный) с диапазоном измерения не уже чем от -100 до +900 C</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Датчик электропроводимости с диапазонами измерения не уже чем от 0 до 200 мкСм; </w:t>
            </w:r>
            <w:r>
              <w:rPr>
                <w:rFonts w:ascii="Times New Roman" w:hAnsi="Times New Roman"/>
                <w:sz w:val="24"/>
                <w:szCs w:val="24"/>
              </w:rPr>
              <w:lastRenderedPageBreak/>
              <w:t>от 0 до 2000 мкСм; от 0 до 20000 мкСм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температуры платиновый с диапазоном измерения не уже чем от -30 до +120 C</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Отдельные датчики: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оптической плотности 525 нм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Аксессуары: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Кабель USB соединительный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Зарядное устройство с кабелем miniUSB</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USB Адаптер Bluetooth 4.1 Low Energy</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Краткое руководство по эксплуатации цифровой лаборатории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лабораторной оснастки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Программное обеспечение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Методические рекомендации не менее 40 работ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русскоязычного сайта поддержки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Наличие видеороликов.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3 шт.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шт. </w:t>
            </w: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Цифровая лаборатория по физике (ученическая)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выполнение экспериментов по темам курса физики.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Комплектация: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Беспроводной мультидатчик по физике с 6-ю встроенными датчиками: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Цифровой датчик температуры с диапазоном измерения не уже чем от -20 до 120 C</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Цифровой датчик абсолютного давления с диапазоном измерения не уже чем от 0 до 500 кПа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магнитного поля с диапазоном измерения не уже чем от -80 до 80 мТл</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Датчик напряжения с диапазонами измерения не уже чем от -2 до +2 В; от -5 </w:t>
            </w:r>
            <w:r>
              <w:rPr>
                <w:rFonts w:ascii="Times New Roman" w:hAnsi="Times New Roman"/>
                <w:sz w:val="24"/>
                <w:szCs w:val="24"/>
              </w:rPr>
              <w:lastRenderedPageBreak/>
              <w:t>до +5 В; от -10 до +10 В; от -15 до +15 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тока не уже чем от -1 до +1 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акселерометр с показателями не менее чем: +/- 2 g; +/- 4 g; +/- 8 g</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Отдельные устройства: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USB осциллограф не менее 2 канала, +/- 100 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Аксессуары: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Кабель USB соединительный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Зарядное устройство с кабелем miniUSB</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USB Адаптер Bluetooth 4.1 Low Energy</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Конструктор для проведения экспериментов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Краткое руководство по эксплуатации цифровой лаборатории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Программное обеспечение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Методические рекомендации (40 работ)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русскоязычного сайта поддержки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Наличие видеороликов.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3 шт.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шт. </w:t>
            </w:r>
          </w:p>
        </w:tc>
      </w:tr>
      <w:tr w:rsidR="00820E5B">
        <w:tblPrEx>
          <w:tblCellMar>
            <w:top w:w="0" w:type="dxa"/>
            <w:left w:w="0" w:type="dxa"/>
            <w:bottom w:w="0" w:type="dxa"/>
            <w:right w:w="0" w:type="dxa"/>
          </w:tblCellMar>
        </w:tblPrEx>
        <w:trPr>
          <w:jc w:val="center"/>
        </w:trPr>
        <w:tc>
          <w:tcPr>
            <w:tcW w:w="9000" w:type="dxa"/>
            <w:gridSpan w:val="5"/>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Компьютерное оборудование </w:t>
            </w: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Ноутбук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Форм-фактор: ноутбук;</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Жесткая, неотключаемая клавиатура: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Русская раскладка клавиатуры: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Диагональ экрана: не менее 15,6 дюймов;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Разрешение экрана: не менее 1920 x 1080 пикселей;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ядер процессора: не менее 4;</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потоков: не менее 8;</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Базовая тактовая частота процессора: не менее 1 ГГц;</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Максимальная тактовая частота процессора: не менее 2,5 ГГц;</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Кэш-память процессора: не </w:t>
            </w:r>
            <w:r>
              <w:rPr>
                <w:rFonts w:ascii="Times New Roman" w:hAnsi="Times New Roman"/>
                <w:sz w:val="24"/>
                <w:szCs w:val="24"/>
              </w:rPr>
              <w:lastRenderedPageBreak/>
              <w:t>менее 6 Мбайт;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 установленной оперативной памяти: не менее 8 Гбайт;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 поддерживаемой оперативной памяти (для возможности расширения): не менее 24 Гбайт;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 накопителя SSD: не менее 240 Гбайт;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Время автономной работы от батареи: не менее 6 часов;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Вес ноутбука с установленным аккумулятором: не более 1,8 кг;</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Внешний интерфейс USB стандарта не ниже 3.0: не менее трех свободных;</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Внешний интерфейс LAN (использование переходников не предусмотрено):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модулей и интерфейсов (использование переходников не предусмотрено): VGA, HDMI;</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Беспроводная связь Wi-Fi: наличие с поддержкой стандарта IEEE 802.11n или современнее;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Web-камера: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Манипулятор "мышь":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наличие.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3 шт.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шт. </w:t>
            </w: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МФУ (принтер, </w:t>
            </w:r>
            <w:r>
              <w:rPr>
                <w:rFonts w:ascii="Times New Roman" w:hAnsi="Times New Roman"/>
                <w:sz w:val="24"/>
                <w:szCs w:val="24"/>
              </w:rPr>
              <w:lastRenderedPageBreak/>
              <w:t xml:space="preserve">сканер, копир)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Тип устройства: МФУ </w:t>
            </w:r>
            <w:r>
              <w:rPr>
                <w:rFonts w:ascii="Times New Roman" w:hAnsi="Times New Roman"/>
                <w:sz w:val="24"/>
                <w:szCs w:val="24"/>
              </w:rPr>
              <w:lastRenderedPageBreak/>
              <w:t>(функции печати, копирования, сканирования);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Формат бумаги: не менее A4;</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Цветность: черно-белый;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Технология печати: лазерная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Максимальное разрешение печати: не менее 1200 x 1200 точек;</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Интерфейсы: Wi-Fi, Ethernet (RJ-45), USB.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шт. </w:t>
            </w:r>
          </w:p>
        </w:tc>
      </w:tr>
      <w:tr w:rsidR="00820E5B">
        <w:tblPrEx>
          <w:tblCellMar>
            <w:top w:w="0" w:type="dxa"/>
            <w:left w:w="0" w:type="dxa"/>
            <w:bottom w:w="0" w:type="dxa"/>
            <w:right w:w="0" w:type="dxa"/>
          </w:tblCellMar>
        </w:tblPrEx>
        <w:trPr>
          <w:jc w:val="center"/>
        </w:trPr>
        <w:tc>
          <w:tcPr>
            <w:tcW w:w="7200" w:type="dxa"/>
            <w:gridSpan w:val="4"/>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ДОПОЛНИТЕЛЬНОЕ ОБОРУДОВАНИЕ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p>
        </w:tc>
      </w:tr>
      <w:tr w:rsidR="00820E5B">
        <w:tblPrEx>
          <w:tblCellMar>
            <w:top w:w="0" w:type="dxa"/>
            <w:left w:w="0" w:type="dxa"/>
            <w:bottom w:w="0" w:type="dxa"/>
            <w:right w:w="0" w:type="dxa"/>
          </w:tblCellMar>
        </w:tblPrEx>
        <w:trPr>
          <w:jc w:val="center"/>
        </w:trPr>
        <w:tc>
          <w:tcPr>
            <w:tcW w:w="7200" w:type="dxa"/>
            <w:gridSpan w:val="4"/>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Естественно-научная направленность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Цифровая лаборатория по биологии (ученическая)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выполнение лабораторных работ на уроках по биологии в основной школе и проектно-исследовательской деятельности учащихся.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Комплектация: Беспроводной мультидатчик по биологии с 6-ю встроенными датчиками: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влажности с диапазоном измерения 0...100%</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освещенности с диапазоном измерения не уже чем от 0 до 180000 лк</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pH с диапазоном измерения не уже чем от 0 до 14 pH</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температуры с диапазоном измерения не уже чем от -20 до +140 C</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электропроводимости с диапазонами измерения не уже чем от 0 до 200 мкСм; от 0 до 2000 мкСм; от 0 до 20000 мкСм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температуры окружающей среды с диапазоном измерения не уже чем от -20 до +40</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Аксессуары: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Кабель USB соединительный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Зарядное устройство с кабелем miniUSB</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USB Адаптер Bluetooth 4.1 Low Energy</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Краткое руководство по эксплуатации цифровой лаборатории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Цифровая видеокамера с металлическим штативом, разрешение не менее 0,3 Мпикс</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Программное обеспечение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Методические рекомендации не менее 30 работ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Упаковка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Наличие русскоязычного сайта поддержки, наличие видеороликов.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шт. </w:t>
            </w: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Цифровая лаборатория по химии (ученическая)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выполнение лабораторных работ по химии на уроках в основной школе и проектно-исследовательской деятельности учащихся.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Комплектация: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Беспроводной мультидатчик по химии с 4-мя встроенными датчиками: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pH с диапазоном измерения не уже чем от 0 до 14 pH</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высокой температуры (термопарный) с диапазоном измерения не уже чем от -100 до +900 C</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электропроводимости с диапазонами измерения не уже чем от 0 до 200 мкСм; от 0 до 2000 мкСм; от 0 до 20000 мкСм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температуры платиновый с диапазоном измерения не уже чем от -30 до +120 C</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Отдельные датчики: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Датчик оптической плотности 525 нм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Аксессуары: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Кабель USB соединительный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Зарядное устройство с кабелем miniUSB</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USB Адаптер Bluetooth 4.1 Low Energy</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Краткое руководство по эксплуатации цифровой лаборатории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лабораторной оснастки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Программное обеспечение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Методические рекомендации не менее 40 работ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русскоязычного сайта поддержки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Наличие видеороликов.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шт. </w:t>
            </w: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Цифровая лаборатория по физике (ученическая)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выполнение экспериментов по темам курса физики.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Комплектация: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Беспроводной мультидатчик по физике с 6-ю встроенными датчиками: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Цифровой датчик температуры с диапазоном измерения не уже чем от -20 до 120 C</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Цифровой датчик абсолютного давления с диапазоном измерения не уже чем от 0 до 500 кПа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магнитного поля с диапазоном измерения не уже чем от -80 до 80 мТл</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напряжения с диапазонами измерения не уже чем от -2 до +2 В; от -5 до +5 В; от -10 до +10 В; от -15 до +15 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тока не уже чем от -1 до +1 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акселерометр с показателями не менее чем: +/- 2 g; +/- 4 g; +/- 8 g</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Отдельные устройства: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USB осциллограф не менее 2 канала, +/- 100 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Аксессуары: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Кабель USB соединительный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Зарядное устройство с кабелем miniUSB</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USB Адаптер Bluetooth 4.1 Low Energy</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Конструктор для проведения экспериментов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Краткое руководство по эксплуатации цифровой лаборатории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Программное обеспечение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Методические рекомендации (40 работ)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русскоязычного сайта поддержки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Наличие видеороликов.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шт. </w:t>
            </w: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Цифровая лаборатория по физиологии (профильный уровень)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проведение исследования по функционированию человеческого организма. Комплектация: Беспроводной мультидатчик по физиологии с 5-ю встроенными датчиками: Датчик артериального давления (0...250 мм рт. ст.)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пульса с диапазоном измерения не уже чем от 30 до 200 уд/мин</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температуры тела с диапазоном измерения не уже чем от +25 до +40 C</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частоты дыхания с диапазоном измерения не уже чем от 0 до 100 циклов/мин</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ускорения с показателями +/- 2 g; +/- 4 g; +/- 8 g</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Отдельные устройства: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ЭКГ с диапазоном измерения не уже чем от -300 до +300 мВ)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Датчик pH с диапазоном </w:t>
            </w:r>
            <w:r>
              <w:rPr>
                <w:rFonts w:ascii="Times New Roman" w:hAnsi="Times New Roman"/>
                <w:sz w:val="24"/>
                <w:szCs w:val="24"/>
              </w:rPr>
              <w:lastRenderedPageBreak/>
              <w:t>измерения не уже чем от 0 до 14 pH</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силомер с диапазоном измерения не уже чем от -40 до 40 Н</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освещенности с диапазоном измерения не уже чем от 0 до 180000 лк</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Аксессуары: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Кабель USB соединительный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Зарядное устройство с кабелем miniUSB</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USB Адаптер Bluetooth 4.1 Low Energy</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Конструктор для проведения экспериментов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Краткое руководство по эксплуатации цифровой лаборатории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Программное обеспечение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Методические рекомендации не менее 20 работ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русскоязычного сайта поддержки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Наличие видеороликов.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шт. </w:t>
            </w: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Цифровая лаборатория по экологии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проведение учебного экологического мониторинга инструментальными методами. Набор применяется при изучении экологии, биологии, химии, географии и природоведения, а также для индивидуальных исследования и проектной деятельности школьников.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Комплектация: Беспроводной мультидатчик по экологическому мониторингу с 8-ю встроенными датчиками: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нитрат-ионов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хлорид-ионов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pH с диапазоном измерения не уже чем от 0 до 14 pH</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Датчик влажности с диапазоном измерения 0...100%</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освещенности с диапазоном измерения не уже чем от 0 до 180000 лк</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температуры с диапазоном измерения не уже чем от -20 до +140 C</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электропроводимости с диапазонами измерения не уже чем от 0 до 200 мкСм; от 0 до 2000 мкСм; от 0 до 20000 мкСм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температуры окружающей среды с диапазоном измерения не уже чем от -20 до +50 C</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Отдельные датчики: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звука с функцией интегрирования с диапазоном измерения частот не менее чем от 50 Гц до 8 кГц;</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влажности почвы с диапазоном измерения не уже чем от 0 до 50%</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кислорода с диапазоном измерения от 0 до 100%</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оптической плотности 525 нм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оптической плотности 470 нм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турбидиметр с диапазоном измерения не уже чем от 0 до 200 NTU</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Датчик окиси углерода с диапазоном измерения не уже чем от 0 до 1000 ppm</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Аксессуары: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Кабель USB соединительный (2 шт.)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Зарядное устройство с кабелем miniUSB</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USB Адаптер Bluetooth 4.1 Low Energy</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Стержень для закрепления </w:t>
            </w:r>
            <w:r>
              <w:rPr>
                <w:rFonts w:ascii="Times New Roman" w:hAnsi="Times New Roman"/>
                <w:sz w:val="24"/>
                <w:szCs w:val="24"/>
              </w:rPr>
              <w:lastRenderedPageBreak/>
              <w:t>датчиков в штативе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Краткое руководство по эксплуатации цифровой лаборатории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Программное обеспечение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Методические рекомендации не менее 20 работ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Упаковка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Наличие русскоязычного сайта поддержки, наличие видеороликов.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шт. </w:t>
            </w: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6.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Микроскоп цифровой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Тип микроскопа: биологический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Насадка микроскопа: монокулярная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Назначение: лабораторный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Метод исследования: светлое поле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Материал оптики: оптическое стекло</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Увеличение микроскопа, крат: 64 - 1280</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Окуляры: WF16x</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Объективы: 4x, 10x, 40xs (подпружиненный)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Револьверная головка: на 3 объектива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Тип подсветки: зеркало или светодиод</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Расположение подсветки: верхняя и нижняя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Материал корпуса: металл</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Предметный столик, мм: 90</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Источник питания: 220 В/50 Гц</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Число мегапикселей: 1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шт.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шт. </w:t>
            </w: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7.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Набор ОГЭ по химии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 набор входят весы лабораторные электронные 200 г, спиртовка лабораторная, воронка коническая, палочка стеклянная, пробирка ПХ-14 (10 штук), стакан высокий с носиком ВН-50 с меткой (2 штуки), цилиндр измерительный 2-50-2 (стеклянный, с притертой </w:t>
            </w:r>
            <w:r>
              <w:rPr>
                <w:rFonts w:ascii="Times New Roman" w:hAnsi="Times New Roman"/>
                <w:sz w:val="24"/>
                <w:szCs w:val="24"/>
              </w:rPr>
              <w:lastRenderedPageBreak/>
              <w:t>крышкой), штатив для пробирок на 10 гнезд, зажим пробирочный, шпатель-ложечка (3 штуки), набор флаконов для хранения растворов и реактивов (объем флакона 100 мл - 5 комплектов по 6 штук, объем флакона 30 мл - 10 комплектов по 6 штук), цилиндр измерительный с носиком 1-500 (2 штуки), стакан высокий 500 мл (3 штуки), набор ершей для мытья посуды (ерш для мытья пробирок - 3 штуки, ерш для мытья колб - 3 штуки), халат белый х/б (2 штуки), перчатки резиновые химические стойкие (2 штуки), очки защитные, фильтры бумажные (100 штук), горючее для спиртовок (0,33 л).</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 состав набор входят реактивы: алюминий, железо, соляная кислота, метилоранж, фенолфталеин, аммиак, пероксид водорода, нитрат серебра и другие; в общей сложности - 44 различных веществ, используемых для составления комплектов реактивов при проведении экзаменационных экспериментов по курсу школьной химии.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шт. </w:t>
            </w: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8.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Учебная лаборатория по нейротехнологии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состав входят: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Сенсор Тип 1 не менее 1 шт., обеспечивает возможность регистрации сигнала электрической активности мышц (электромиограммы, ЭМГ).</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Регистрация должна осуществляется неинвазивно, сухими электродами.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Возможностью крепления к руке человека, что должно давать возможность регистрировать электрическую активности мышцы в области, над которой располагается крепление. При напряжении мышцы должна быть обеспечена возможность наблюдения пучности сигнала (т.е. присутствие ЭМГ), при расслаблении мышцы - ее отсутствие.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Сенсор Тип 2 не менее 1 шт., обеспечивает возможность регистрации сигнала фотоплетизмограммы (ФПГ) оптическим путем, за счет изменения отраженного от кровеносных сосудов света, объем которых изменяется под воздействием пульсовой волны. Сенсор должен быть обеспечен возможностью крепления к подушечке пальца человека.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Сенсор Тип 3 не менее 1 шт., обеспечивает возможность: регистрации сигнала электрокардиограммы (ЭКГ) не инвазивным способом;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регистрации I, II и III отведений; подключения электродов к сенсору с помощью соединительных проводов, оборудованных TouchProof разъемами.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Сенсор Тип 4 не менее 1 шт. обеспечивает возможность: регистрации сигнала кожно-гальванической реакции (КГР), регистрация которого осуществляется на постоянном токе; подключения к телу </w:t>
            </w:r>
            <w:r>
              <w:rPr>
                <w:rFonts w:ascii="Times New Roman" w:hAnsi="Times New Roman"/>
                <w:sz w:val="24"/>
                <w:szCs w:val="24"/>
              </w:rPr>
              <w:lastRenderedPageBreak/>
              <w:t>человека с помощью сухих электродов, подключение которых к сенсору осуществляется с помощью TouchProof разъемов.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Сенсор Тип 5 не менее 1 шт., обеспечивает возможность: регистрации сигнала электрической активности мозга (ЭЭГ) с помощью сухих неинвазивных электродов; регистрации электрической активности разных долей мозга; подключения электродов к сенсору с помощью соединительных проводов, оборудованных TouchProof разъемами; закрепления электродов на поверхности головы.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Сенсор Тип 6 не менее 1 шт., обеспечивает возможность: регистрации сигнала колебания грудной клетки (Сенсор дыхания); определения частоты дыхания.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Устройство для сбора данных от сенсоров и передачи на персональный компьютер обеспечивает возможность сбора данных от подключенных к нему сенсоров и отправку полученных данных на ПК. Подключение центрального модуля к ПК с помощью USB-кабеля. Центральный модуль имеет не менее 1 шт.: гальваническую изоляцию от ПК.</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Центральный модуль обеспечивает возможность одновременного подключения вплоть до 4 сенсоров. Каждый из входов Центрального модуля имеет гальваническую изоляцию </w:t>
            </w:r>
            <w:r>
              <w:rPr>
                <w:rFonts w:ascii="Times New Roman" w:hAnsi="Times New Roman"/>
                <w:sz w:val="24"/>
                <w:szCs w:val="24"/>
              </w:rPr>
              <w:lastRenderedPageBreak/>
              <w:t>(обеспечение межканальной гальванической изоляции). Подключение сенсоров к Центральному модулю осуществляется с помощью специализированных разъемов типа LEMO, обеспечивающих правильность подключения разъема и снижающих риск случайного касания разъемов токопроводящих частей, а также обеспечивающих защиту от несанкционированного подключения к произвольным устройствам.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Модуль "Кнопка" не менее 1 шт., обеспечивает возможность: разметки регистрируемых сигналов и отмечать не менее 3-х различных категории состояний.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Устройство, входящее в состав лаборатории, должно обеспечивать возможность регистрации артериального давления.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Программное обеспечение (далее - ПО). Должно обеспечивать визуализацию и обработку регистрируемых сигналов.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Главное окно программы должно состоять из вкладок, каждая из которых содержит набор графиков, необходимых для отображения требуемой информации.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Должна иметься вкладка для одновременного просмотра сигнала со всех сенсоров, одновременно подключенных к Центральному модулю.</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Это обеспечивает возможность </w:t>
            </w:r>
            <w:r>
              <w:rPr>
                <w:rFonts w:ascii="Times New Roman" w:hAnsi="Times New Roman"/>
                <w:sz w:val="24"/>
                <w:szCs w:val="24"/>
              </w:rPr>
              <w:lastRenderedPageBreak/>
              <w:t>многоканального (полиграфического) режима работы устройства.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Также должны иметься вкладки для визуализации сигналов от сенсоров ЭМГ, ФПГ, ЭКГ, КГР, ЭЭГ, сенсора дыхания, кнопки; а также производных графиков, на которых визуализируются специфичные для того или иного сигнала величины.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 должно давать возможность визуализации и обработки регистрируемых сигналов, а именно:</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ЭМГ: визуализация сигнала, спектр сигнала, амплитудный триггер</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ФПГ: визуализация сигнала, спектра сигнала, тахограммы, график пульса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ЭКГ: визуализация сигнала, тахограммы, график пульса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КГР: визуализация сигнала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ЭЭГ: визуализация сигнала, спектр сигнала, амплитуда альфа-ритма, амплитуда бета-ритма.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Сенсор дыхания: визуализация сигнала,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Кнопка: визуализация сигнала разметки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 должно иметь возможность кастомизации и настройки ПО для эффективного отображения графиков: настройка цвета, выбор параметров для анализа, выбор отображаемых графиков, масштабирование графиков. ПО должно иметь возможность записи и воспроизведения регистрируемых сигналов.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Возможность настройки параметров фильтрации сигнала с помощью фильтра нижних частот, фильтра высоких частот, полосового фильтра, режекторного фильтра.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 целью удобства анализа сигнала, должна иметься возможность записи регистрируемых сигналов в файл, с последующей возможностью их последующего воспроизведения в данном ПО (имитируя регистрацию сигнала в режиме реального времени).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составе: методические материалы для учителя и обучающихся, описание подключения сенсоров лаборатории, инструкции по использованию ПО, описание лабораторных и практических работ, которое в том числе содержит презентационные материалы.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Упаковка/коробка лаборатории должна обеспечивать удобное хранение и содержать подсказки для расположения сенсоров и устройств лаборатории для удобного использования преподавателями и обучающимися.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шт. </w:t>
            </w:r>
          </w:p>
        </w:tc>
      </w:tr>
      <w:tr w:rsidR="00820E5B">
        <w:tblPrEx>
          <w:tblCellMar>
            <w:top w:w="0" w:type="dxa"/>
            <w:left w:w="0" w:type="dxa"/>
            <w:bottom w:w="0" w:type="dxa"/>
            <w:right w:w="0" w:type="dxa"/>
          </w:tblCellMar>
        </w:tblPrEx>
        <w:trPr>
          <w:jc w:val="center"/>
        </w:trPr>
        <w:tc>
          <w:tcPr>
            <w:tcW w:w="7200" w:type="dxa"/>
            <w:gridSpan w:val="4"/>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Технологическая направленность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9.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Образовательный конструктор для практики блочного программирования с комплектом датчиков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Робототехнический набор предназначен для изучения основ робототехники, деталей, узлов и механизмов, необходимых для создания робототехнических устройств.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Набор представляет собой комплект структурных элементов, соединительных элементов и электротехнических компонентов.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позволяет собирать (и программировать собираемые модели), из элементов входящих в его состав, модели мехатронных и робототехнических устройств с автоматизированным управлением, в том числе на колесном ходу, а так же конструкций, основанных на использовании передач (в том числе червячных и зубчатых), а так же рычагов.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светодиодный матричный дисплей с белой подсветкой на контроллере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портов ввода/вывода на контроллере не менее 6</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кнопок не менее 4</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Общее количество элементов: не менее 520 шт., в том числе: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программируемый блок управления, который может работать автономно и в потоковом режиме;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сервомоторы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датчик силы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датчик расстояния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датчик цвета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аккумуляторная батарея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7) Пластиковые структурные элементы, включая перфорированные элементы: балки, кубики, оси и валы, соединительные элементы к осям, шестерни, предназначенные для создания червячных и зубчатых передач, </w:t>
            </w:r>
            <w:r>
              <w:rPr>
                <w:rFonts w:ascii="Times New Roman" w:hAnsi="Times New Roman"/>
                <w:sz w:val="24"/>
                <w:szCs w:val="24"/>
              </w:rPr>
              <w:lastRenderedPageBreak/>
              <w:t>соединительные и крепежные элементы;</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7) Программное обеспечение, используемое для программирования собираемых робототехнических моделей и устройств, доступно для скачивания из сети Интернет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шт. </w:t>
            </w: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10.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Образовательный набор по механике, мехатронике и робототехнике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 для изучения основ электроники и робототехники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Набор должен быть предназначен для проведения учебных занятий по электронике и схемотехнике с целью изучения наиболее распространенной элементной базы, применяемой для инженерно-технического творчества учащихся и разработки учебных моделей роботов. Набор должен позволять учащимся на практике освоить основные технологии проектирования робототехнических комплексов на примере учебных моделей роботов, а также изучить основные технические решения в области кибернетических и встраиваемых систем.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состав комплекта должен входить набор конструктивных элементов для сборки макета манипуляционного робота, комплект металлических конструктивных элементов для сборки макета мобильного робота и т.п.</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 состав комплекта входит набор электронных компонентов для изучения </w:t>
            </w:r>
            <w:r>
              <w:rPr>
                <w:rFonts w:ascii="Times New Roman" w:hAnsi="Times New Roman"/>
                <w:sz w:val="24"/>
                <w:szCs w:val="24"/>
              </w:rPr>
              <w:lastRenderedPageBreak/>
              <w:t>основ электроники и схемотехники, а также комплект приводов и датчиков различного типа для разработки робототехнических комплексов.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состав комплекта должно входить: моторы с энкодером - не менее 2 шт, сервопривод большой - не менее 4 шт, сервопривод малый - не менее 2 шт, инфракрасный датчик - не менее 3 шт, ультразвуковой датчик - не менее 3 шт, датчик температуры - не менее 1 шт, датчик освещенности - не менее 1 шт, набор электронных компонентов (резисторы, конденсаторы, светодиоды различного номинала), комплект проводов для беспаечного прототипирования, плата беспаечного прототипирования, аккумулятор и зарядное устройство.</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состав комплекта должен входить программируемый контроллер, программируемый в среде Arduino IDE или аналогичных свободно распространяемых средах разработки. Программируемый контроллер должен обладать портами для подключения цифровых и аналоговых устройств, интерфейсами TTL, USART, I2C, SPI, Ethernet, Bluetooth или WiFi.</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 состав комплекта должен входить модуль технического зрения, </w:t>
            </w:r>
            <w:r>
              <w:rPr>
                <w:rFonts w:ascii="Times New Roman" w:hAnsi="Times New Roman"/>
                <w:sz w:val="24"/>
                <w:szCs w:val="24"/>
              </w:rPr>
              <w:lastRenderedPageBreak/>
              <w:t>представляющий собой вычислительное устройство со встроенным микропроцессором (кол-во ядер - не менее 4 шт, частота ядра не менее 1.2 ГГц, объем ОЗУ - не менее 512 Мб, объем встроенной памяти - не менее 8 Гб), интегрированной камерой (максимальное разрешение видеопотока, передаваемого по интерфейсу USB - не менее 2592 x 1944 ед.) и оптической системой. Модуль технического зрения должен обладать совместимостью с различными программируемыми контроллерами с помощью интерфейсов - TTL, UART, I2C, SPI, Ethernet. Модуль технического зрения должен иметь встроенное программное обеспечение на основе операционной системы Linux, позволяющее осуществлять настройку системы машинного обучения параметров нейронных сетей для обнаружения объектов, определения их параметров и дальнейшей идентификации.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Комплект должен обеспечивать возможность изучения основ разработки программных и аппаратных комплексов инженерных систем, решений в сфере "Интернет вещей", а также решений в области робототехники, искусственного интеллекта и машинного обучения.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шт. </w:t>
            </w: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11.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Четырехосевой учебный </w:t>
            </w:r>
            <w:r>
              <w:rPr>
                <w:rFonts w:ascii="Times New Roman" w:hAnsi="Times New Roman"/>
                <w:sz w:val="24"/>
                <w:szCs w:val="24"/>
              </w:rPr>
              <w:lastRenderedPageBreak/>
              <w:t xml:space="preserve">робот-манипулятор с модульными сменными насадками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Учебный робот-манипулятор </w:t>
            </w:r>
            <w:r>
              <w:rPr>
                <w:rFonts w:ascii="Times New Roman" w:hAnsi="Times New Roman"/>
                <w:sz w:val="24"/>
                <w:szCs w:val="24"/>
              </w:rPr>
              <w:lastRenderedPageBreak/>
              <w:t>предназначен для освоения обучающимися основ робототехники, для подготовки обучающихся к внедрению и последующему использованию роботов в промышленном производстве.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осей робота манипулятора - четыре.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Перемещение инструмента в пространстве по трем осям должно управляться шаговыми двигателями. Напряжение питания шаговых двигателей не более 12 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Серводвигатель четвертой оси должен обеспечивать поворот инструмента.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Угол поворота манипулятора на основании вокруг вертикальной оси не менее 180 градусов.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Для определения положения манипулятора при повороте вокруг вертикальной оси должен использоваться энкодер.</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Угол поворота заднего плеча манипулятора не менее 90 градусов.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Угол поворота переднего плеча манипулятора не менее 100 градусов.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Для определения положения заднего и переднего плеч манипулятора должен использоваться гироскоп. Угол поворота по четвертой оси не менее 180 градусов.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Должна быть возможность оснащения сменными насадками (например, держатель карандаша или фломастера, присоска с серводвигателем, механическое захватное устройство с </w:t>
            </w:r>
            <w:r>
              <w:rPr>
                <w:rFonts w:ascii="Times New Roman" w:hAnsi="Times New Roman"/>
                <w:sz w:val="24"/>
                <w:szCs w:val="24"/>
              </w:rPr>
              <w:lastRenderedPageBreak/>
              <w:t>серводвигателем, устройство для лазерной гравировки или устройство для 3D-печати).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Должна быть возможность подключения дополнительных устройств (например, транспортера, рельса для перемещения робота, пульта управления типа джойстик, камеры машинного зрения, оптического датчика, модуля беспроводного доступа.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Робот-манипулятор должен обеспечивать перемещение насадки в пространстве, активацию насадки, возможность получения сигналов от камеры и датчиков, возможность управления дополнительными устройствами.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Материал корпуса - алюминий. Диаметр рабочей зоны (без учета навесного инструмента и четвертой оси) не менее 320 мм. Интерфейс подключения - USB.</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Должен иметь возможность автономной работы и внешнего управления.</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Управляющий контроллер должен быть совместим со средой Arduino.</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Управляющий контроллер совместим со средой программирования Scratch, и языком программирования C.</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Должен обеспечивать поворот по первым трем осям в заданный угол и на заданный угол, поворот по четвертой оси на заданный угол, движение в </w:t>
            </w:r>
            <w:r>
              <w:rPr>
                <w:rFonts w:ascii="Times New Roman" w:hAnsi="Times New Roman"/>
                <w:sz w:val="24"/>
                <w:szCs w:val="24"/>
              </w:rPr>
              <w:lastRenderedPageBreak/>
              <w:t>координаты X, Y, Z, перемещение на заданное расстояние по координатам X, Y, Z, передачу данных о текущем положении углов, передачу данных о текущих координатах инструмента.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Должен поддерживать перемещение в декартовых координатах и углах поворота осей, с заданной скоростью и ускорением.</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Типы перемещений в декартовых координатах: движение по траектории, движение по прямой между двумя точками, перепрыгивание из точки и точку (перенос объекта).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шт. </w:t>
            </w: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12.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Образовательный набор для изучения многокомпонентных робототехнических систем и манипуляционных роботов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Образовательный комплект должен быть предназначен для изучения робототехнических технологий, основ информационных технологий и технологий промышленной автоматизации, а также технологий прототипирования и аддитивного производства.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состав комплекта должно входить:</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Интеллектуальный сервомодуль с интегрированной системой управления, позволяющей объединять сервомодули друг с другом по последовательному интерфейсу - не менее 6 шт;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Робототехнический контроллер модульного типа, представляющий собой одноплатный микрокомпьютер с операционной системой Linux, объединенный с периферийным </w:t>
            </w:r>
            <w:r>
              <w:rPr>
                <w:rFonts w:ascii="Times New Roman" w:hAnsi="Times New Roman"/>
                <w:sz w:val="24"/>
                <w:szCs w:val="24"/>
              </w:rPr>
              <w:lastRenderedPageBreak/>
              <w:t>контроллером с помощью платы расширения. Робототехнический контроллер должен удовлетворять техническим характеристикам: кол-во ядер встроенного микрокомпьютера - не менее 4, тактовая частота ядра - не менее 1,2 ГГц, объем ОЗУ - не менее 512 Мб, наличие интерфейсов - SPI, I2C, I2S, TTL, UART, PWM, цифровые и аналоговые порты для подключения внешних устройств, а также WiFi или Bluetooth для коммуникации со внешними устройствами. Робототехнический контроллер должен обеспечивать возможность программирования с помощью средств языков C/C++, Python и свободно распространяемой среды Arduino IDE, а также управления моделями робототехнических систем с помощью среды ROS.</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Вычислительный модуль со встроенным микроконтроллером - не менее 1 шт. Вычислительный модуль должен обладать встроенными цифровыми портами - не менее 12 шт и аналоговыми портами - не менее 12 шт. Вычислительный модуль должен обладать встроенным модулем беспроводной связи типа Bluetooth и WiFi для создания аппаратно-программных решений и "умных/смарт"-устройств </w:t>
            </w:r>
            <w:r>
              <w:rPr>
                <w:rFonts w:ascii="Times New Roman" w:hAnsi="Times New Roman"/>
                <w:sz w:val="24"/>
                <w:szCs w:val="24"/>
              </w:rPr>
              <w:lastRenderedPageBreak/>
              <w:t>для разработки решений "Интернет вещей".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Вычислительный модуль должен обладать совместимостью с периферийными платами для подключения к сети Ethernet и подключения внешней силовой нагрузки.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Модуль технического зрения, представляющий собой устройство на базе вычислительного микроконтроллера и интегрированной камеры, обеспечивающее распознавание простейших изображений на модуле за счет собственных вычислительных возможностей - не менее 1 шт;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Модуль технического зрения должен обеспечивать возможность осуществлять настройку экспозиции, баланса белого, HSV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Модуль технического зрения должен иметь встроенные интерфейсы - SPI, UART, I2C или TTL для коммуникации друг с другом или внешними устройствами.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Комплект конструктивных элементов из металла для сборки модели манипуляторов - не менее 1 шт;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Комплект элементов для сборки вакуумного захвата - не менее 1 шт.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Образовательный робототехнический комплект должен содержать набор библиотек трехмерных моделей для прототипирования моделей мобильных и манипуляционных роботов различного типа. В состав комплекта должны входить инструкции и методические указания по разработке трехмерных моделей мобильных роботов, манипуляционных роботов с различными типами кинематики (угловая кинематика, плоско-параллельная кинематика, дельта-кинематика, SCARA или рычажная кинематика, платформа Стюарта и т.п.).</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Образовательный робототехнический комплект должен содержать инструкции по проектированию роботов, инструкции и методики осуществления инженерных расчетов при проектировании (расчеты нагрузки и моментов, расчет мощности приводов, расчет параметров кинематики и т.п.), инструкции по разработке систем управления и программного обеспечения для управления роботами, инструкции и методики по разработке систем управления с элементами искусственного интеллекта и машинного обучения.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шт. </w:t>
            </w:r>
          </w:p>
        </w:tc>
      </w:tr>
      <w:tr w:rsidR="00820E5B">
        <w:tblPrEx>
          <w:tblCellMar>
            <w:top w:w="0" w:type="dxa"/>
            <w:left w:w="0" w:type="dxa"/>
            <w:bottom w:w="0" w:type="dxa"/>
            <w:right w:w="0" w:type="dxa"/>
          </w:tblCellMar>
        </w:tblPrEx>
        <w:trPr>
          <w:jc w:val="center"/>
        </w:trPr>
        <w:tc>
          <w:tcPr>
            <w:tcW w:w="9000" w:type="dxa"/>
            <w:gridSpan w:val="5"/>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Компьютерное оборудование </w:t>
            </w: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13.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Ноутбук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Форм-фактор: ноутбук;</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Жесткая, неотключаемая </w:t>
            </w:r>
            <w:r>
              <w:rPr>
                <w:rFonts w:ascii="Times New Roman" w:hAnsi="Times New Roman"/>
                <w:sz w:val="24"/>
                <w:szCs w:val="24"/>
              </w:rPr>
              <w:lastRenderedPageBreak/>
              <w:t>клавиатура: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Русская раскладка клавиатуры: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Диагональ экрана: не менее 15,6 дюймов;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Разрешение экрана: не менее 1920 x 1080 пикселей;</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ядер процессора: не менее 4;</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потоков: не менее 8;</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Базовая тактовая частота процессора: не менее 1 ГГц;</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Максимальная тактовая частота процессора: не менее 2,5 ГГц;</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Кэш-память процессора: не менее 6 Мбайт;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 установленной оперативной памяти: не менее 8 Гбайт;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 поддерживаемой оперативной памяти (для возможности расширения): не менее 24 Гбайт;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 накопителя SSD: не менее 240 Гбайт;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Время автономной работы от батареи: не менее 6 часов;</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Вес ноутбука с установленным аккумулятором: не более 1,8 кг;</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Внешний интерфейс USB стандарта не ниже 3.0: не менее трех свободных;</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Внешний интерфейс LAN (использование переходников не предусмотрено):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модулей и интерфейсов (использование переходников не предусмотрено): VGA, HDMI;</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Беспроводная связь Wi-Fi: наличие с поддержкой </w:t>
            </w:r>
            <w:r>
              <w:rPr>
                <w:rFonts w:ascii="Times New Roman" w:hAnsi="Times New Roman"/>
                <w:sz w:val="24"/>
                <w:szCs w:val="24"/>
              </w:rPr>
              <w:lastRenderedPageBreak/>
              <w:t>стандарта IEEE 802.11n или современнее;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Web-камера: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Манипулятор "мышь":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наличие.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1 шт.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шт. </w:t>
            </w:r>
          </w:p>
        </w:tc>
      </w:tr>
      <w:tr w:rsidR="00820E5B">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14.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Тележка - хранилище ноутбуков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тип корпуса: метал;</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возможность безопасного защищенного замком хранения ноутбуков: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возможность зарядки ноутбуков: наличие, поддержка ноутбуков из комплекта поставки;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роутера Wi-Fi стандарта 802.11n или современнее: 1 шт.</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поддержка ноутбуков из комплекта поставки;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ноутбуков: от 6 штук, поддержка ноутбуков из комплекта поставки;</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Напряжение питания: 220 В\50 Гц;</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Потребляемая мощность, Вт (максимум): 2500;</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Потребляемый ток, А (максимум): 12;</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Длина шнура электропитания: от 2,5 метра;</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Защита от перенапряжения, короткого замыкания: наличие;</w:t>
            </w:r>
          </w:p>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Колеса для передвижения с тормозом: наличие.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шт. </w:t>
            </w:r>
          </w:p>
        </w:tc>
        <w:tc>
          <w:tcPr>
            <w:tcW w:w="1800" w:type="dxa"/>
            <w:tcBorders>
              <w:top w:val="single" w:sz="6" w:space="0" w:color="auto"/>
              <w:left w:val="single" w:sz="6" w:space="0" w:color="auto"/>
              <w:bottom w:val="single" w:sz="6" w:space="0" w:color="auto"/>
              <w:right w:val="single" w:sz="6" w:space="0" w:color="auto"/>
            </w:tcBorders>
          </w:tcPr>
          <w:p w:rsidR="00820E5B" w:rsidRDefault="0082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шт. </w:t>
            </w:r>
          </w:p>
        </w:tc>
      </w:tr>
    </w:tbl>
    <w:p w:rsidR="00820E5B" w:rsidRDefault="00820E5B"/>
    <w:sectPr w:rsidR="00820E5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546"/>
    <w:rsid w:val="00302546"/>
    <w:rsid w:val="007B37F9"/>
    <w:rsid w:val="00820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C20B9B-00F5-4A53-9DDC-C72AFB56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78129#l68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ormativ.kontur.ru/document?moduleid=1&amp;documentid=377726#l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379953#l136" TargetMode="External"/><Relationship Id="rId11" Type="http://schemas.openxmlformats.org/officeDocument/2006/relationships/hyperlink" Target="https://normativ.kontur.ru/document?moduleid=1&amp;documentid=381651#l1" TargetMode="External"/><Relationship Id="rId5" Type="http://schemas.openxmlformats.org/officeDocument/2006/relationships/hyperlink" Target="https://normativ.kontur.ru/document?moduleid=1&amp;documentid=379953#l6694" TargetMode="External"/><Relationship Id="rId10" Type="http://schemas.openxmlformats.org/officeDocument/2006/relationships/hyperlink" Target="https://normativ.kontur.ru/document?moduleid=1&amp;documentid=381651#l638" TargetMode="External"/><Relationship Id="rId4" Type="http://schemas.openxmlformats.org/officeDocument/2006/relationships/hyperlink" Target="https://normativ.kontur.ru/document?moduleid=1&amp;documentid=328410#l5" TargetMode="External"/><Relationship Id="rId9" Type="http://schemas.openxmlformats.org/officeDocument/2006/relationships/hyperlink" Target="https://normativ.kontur.ru/document?moduleid=1&amp;documentid=378129#l8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18991</Words>
  <Characters>108253</Characters>
  <Application>Microsoft Office Word</Application>
  <DocSecurity>0</DocSecurity>
  <Lines>902</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Galina</cp:lastModifiedBy>
  <cp:revision>2</cp:revision>
  <dcterms:created xsi:type="dcterms:W3CDTF">2025-02-13T11:30:00Z</dcterms:created>
  <dcterms:modified xsi:type="dcterms:W3CDTF">2025-02-13T11:30:00Z</dcterms:modified>
</cp:coreProperties>
</file>